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color w:val="auto"/>
          <w:kern w:val="0"/>
          <w:sz w:val="32"/>
          <w:szCs w:val="32"/>
          <w:highlight w:val="none"/>
        </w:rPr>
      </w:pPr>
    </w:p>
    <w:p>
      <w:pPr>
        <w:jc w:val="center"/>
        <w:rPr>
          <w:rFonts w:hint="eastAsia" w:ascii="仿宋" w:hAnsi="仿宋" w:eastAsia="仿宋" w:cs="仿宋"/>
          <w:color w:val="auto"/>
          <w:kern w:val="0"/>
          <w:sz w:val="32"/>
          <w:szCs w:val="32"/>
          <w:highlight w:val="none"/>
        </w:rPr>
      </w:pPr>
    </w:p>
    <w:p>
      <w:pPr>
        <w:rPr>
          <w:rFonts w:hint="eastAsia" w:ascii="仿宋" w:hAnsi="仿宋" w:eastAsia="仿宋" w:cs="仿宋"/>
          <w:b/>
          <w:color w:val="auto"/>
          <w:sz w:val="84"/>
          <w:szCs w:val="84"/>
          <w:highlight w:val="none"/>
        </w:rPr>
      </w:pPr>
    </w:p>
    <w:p>
      <w:pPr>
        <w:jc w:val="center"/>
        <w:rPr>
          <w:rFonts w:hint="eastAsia" w:ascii="仿宋" w:hAnsi="仿宋" w:eastAsia="仿宋" w:cs="仿宋"/>
          <w:b/>
          <w:color w:val="auto"/>
          <w:sz w:val="84"/>
          <w:szCs w:val="84"/>
          <w:highlight w:val="none"/>
        </w:rPr>
      </w:pPr>
    </w:p>
    <w:p>
      <w:pPr>
        <w:autoSpaceDE w:val="0"/>
        <w:autoSpaceDN w:val="0"/>
        <w:adjustRightInd w:val="0"/>
        <w:snapToGrid w:val="0"/>
        <w:jc w:val="center"/>
        <w:rPr>
          <w:rFonts w:hint="eastAsia" w:ascii="仿宋" w:hAnsi="仿宋" w:eastAsia="仿宋" w:cs="仿宋"/>
          <w:color w:val="auto"/>
          <w:kern w:val="0"/>
          <w:sz w:val="72"/>
          <w:szCs w:val="72"/>
          <w:highlight w:val="none"/>
        </w:rPr>
      </w:pPr>
      <w:r>
        <w:rPr>
          <w:rFonts w:hint="eastAsia" w:ascii="仿宋" w:hAnsi="仿宋" w:eastAsia="仿宋" w:cs="仿宋"/>
          <w:color w:val="auto"/>
          <w:kern w:val="0"/>
          <w:sz w:val="72"/>
          <w:szCs w:val="72"/>
          <w:highlight w:val="none"/>
        </w:rPr>
        <w:t>招标文件</w:t>
      </w:r>
    </w:p>
    <w:p>
      <w:pPr>
        <w:ind w:right="1284" w:firstLine="3092" w:firstLineChars="700"/>
        <w:rPr>
          <w:rFonts w:hint="eastAsia" w:ascii="仿宋" w:hAnsi="仿宋" w:eastAsia="仿宋" w:cs="仿宋"/>
          <w:b/>
          <w:color w:val="auto"/>
          <w:sz w:val="44"/>
          <w:szCs w:val="44"/>
          <w:highlight w:val="none"/>
        </w:rPr>
      </w:pPr>
    </w:p>
    <w:p>
      <w:pPr>
        <w:pStyle w:val="11"/>
        <w:rPr>
          <w:rFonts w:hint="eastAsia" w:ascii="仿宋" w:hAnsi="仿宋" w:eastAsia="仿宋" w:cs="仿宋"/>
          <w:b/>
          <w:color w:val="auto"/>
          <w:sz w:val="44"/>
          <w:szCs w:val="44"/>
          <w:highlight w:val="none"/>
        </w:rPr>
      </w:pPr>
    </w:p>
    <w:p>
      <w:pPr>
        <w:rPr>
          <w:rFonts w:hint="eastAsia"/>
        </w:rPr>
      </w:pPr>
    </w:p>
    <w:p>
      <w:pPr>
        <w:ind w:right="1284" w:firstLine="3092" w:firstLineChars="700"/>
        <w:rPr>
          <w:rFonts w:hint="eastAsia" w:ascii="仿宋" w:hAnsi="仿宋" w:eastAsia="仿宋" w:cs="仿宋"/>
          <w:b/>
          <w:color w:val="auto"/>
          <w:sz w:val="44"/>
          <w:szCs w:val="44"/>
          <w:highlight w:val="none"/>
        </w:rPr>
      </w:pPr>
    </w:p>
    <w:p>
      <w:pPr>
        <w:ind w:right="1284" w:firstLine="3092" w:firstLineChars="700"/>
        <w:rPr>
          <w:rFonts w:hint="eastAsia" w:ascii="仿宋" w:hAnsi="仿宋" w:eastAsia="仿宋" w:cs="仿宋"/>
          <w:b/>
          <w:color w:val="auto"/>
          <w:sz w:val="44"/>
          <w:szCs w:val="44"/>
          <w:highlight w:val="none"/>
        </w:rPr>
      </w:pPr>
    </w:p>
    <w:p>
      <w:pPr>
        <w:ind w:right="1284" w:firstLine="1699" w:firstLineChars="529"/>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项目编号：</w:t>
      </w:r>
      <w:r>
        <w:rPr>
          <w:rFonts w:hint="eastAsia" w:ascii="仿宋" w:hAnsi="仿宋" w:eastAsia="仿宋" w:cs="仿宋"/>
          <w:b/>
          <w:color w:val="auto"/>
          <w:sz w:val="32"/>
          <w:szCs w:val="32"/>
          <w:highlight w:val="none"/>
          <w:lang w:val="en-US" w:eastAsia="zh-CN"/>
        </w:rPr>
        <w:t>AS30CG2022HW0044</w:t>
      </w:r>
    </w:p>
    <w:p>
      <w:pPr>
        <w:jc w:val="right"/>
        <w:rPr>
          <w:rFonts w:hint="eastAsia" w:ascii="仿宋" w:hAnsi="仿宋" w:eastAsia="仿宋" w:cs="仿宋"/>
          <w:b/>
          <w:color w:val="auto"/>
          <w:sz w:val="32"/>
          <w:szCs w:val="32"/>
          <w:highlight w:val="none"/>
        </w:rPr>
      </w:pPr>
    </w:p>
    <w:p>
      <w:pPr>
        <w:ind w:right="1284"/>
        <w:rPr>
          <w:rFonts w:hint="eastAsia" w:ascii="仿宋" w:hAnsi="仿宋" w:eastAsia="仿宋" w:cs="仿宋"/>
          <w:b/>
          <w:color w:val="auto"/>
          <w:sz w:val="32"/>
          <w:szCs w:val="32"/>
          <w:highlight w:val="none"/>
          <w:lang w:eastAsia="zh-CN"/>
        </w:rPr>
      </w:pPr>
      <w:r>
        <w:rPr>
          <w:rFonts w:hint="eastAsia" w:ascii="仿宋" w:hAnsi="仿宋" w:eastAsia="仿宋" w:cs="仿宋"/>
          <w:b/>
          <w:color w:val="auto"/>
          <w:sz w:val="32"/>
          <w:szCs w:val="32"/>
          <w:highlight w:val="none"/>
        </w:rPr>
        <w:t>项目名称：防汛排涝应急设备采购项目</w:t>
      </w:r>
      <w:r>
        <w:rPr>
          <w:rFonts w:hint="eastAsia" w:ascii="仿宋" w:hAnsi="仿宋" w:eastAsia="仿宋" w:cs="仿宋"/>
          <w:b/>
          <w:color w:val="auto"/>
          <w:sz w:val="32"/>
          <w:szCs w:val="32"/>
          <w:highlight w:val="none"/>
          <w:lang w:eastAsia="zh-CN"/>
        </w:rPr>
        <w:t>（</w:t>
      </w:r>
      <w:r>
        <w:rPr>
          <w:rFonts w:hint="eastAsia" w:ascii="仿宋" w:hAnsi="仿宋" w:eastAsia="仿宋" w:cs="仿宋"/>
          <w:b/>
          <w:color w:val="auto"/>
          <w:sz w:val="32"/>
          <w:szCs w:val="32"/>
          <w:highlight w:val="none"/>
          <w:lang w:val="en-US" w:eastAsia="zh-CN"/>
        </w:rPr>
        <w:t>2包</w:t>
      </w:r>
      <w:r>
        <w:rPr>
          <w:rFonts w:hint="eastAsia" w:ascii="仿宋" w:hAnsi="仿宋" w:eastAsia="仿宋" w:cs="仿宋"/>
          <w:b/>
          <w:color w:val="auto"/>
          <w:sz w:val="32"/>
          <w:szCs w:val="32"/>
          <w:highlight w:val="none"/>
          <w:lang w:eastAsia="zh-CN"/>
        </w:rPr>
        <w:t>）</w:t>
      </w:r>
    </w:p>
    <w:p>
      <w:pPr>
        <w:pStyle w:val="8"/>
        <w:jc w:val="center"/>
        <w:rPr>
          <w:rFonts w:hint="eastAsia" w:ascii="仿宋" w:hAnsi="仿宋" w:eastAsia="仿宋" w:cs="仿宋"/>
          <w:b/>
          <w:color w:val="auto"/>
          <w:sz w:val="32"/>
          <w:szCs w:val="32"/>
          <w:highlight w:val="none"/>
        </w:rPr>
      </w:pPr>
    </w:p>
    <w:p>
      <w:pPr>
        <w:pStyle w:val="8"/>
        <w:jc w:val="center"/>
        <w:rPr>
          <w:rFonts w:hint="eastAsia" w:ascii="仿宋" w:hAnsi="仿宋" w:eastAsia="仿宋" w:cs="仿宋"/>
          <w:b/>
          <w:color w:val="auto"/>
          <w:sz w:val="32"/>
          <w:szCs w:val="32"/>
          <w:highlight w:val="none"/>
        </w:rPr>
      </w:pPr>
    </w:p>
    <w:p>
      <w:pPr>
        <w:pStyle w:val="8"/>
        <w:jc w:val="center"/>
        <w:rPr>
          <w:rFonts w:hint="eastAsia" w:ascii="仿宋" w:hAnsi="仿宋" w:eastAsia="仿宋" w:cs="仿宋"/>
          <w:b/>
          <w:color w:val="auto"/>
          <w:sz w:val="32"/>
          <w:szCs w:val="32"/>
          <w:highlight w:val="none"/>
        </w:rPr>
      </w:pPr>
    </w:p>
    <w:p>
      <w:pPr>
        <w:pStyle w:val="8"/>
        <w:jc w:val="center"/>
        <w:rPr>
          <w:rFonts w:hint="eastAsia" w:ascii="仿宋" w:hAnsi="仿宋" w:eastAsia="仿宋" w:cs="仿宋"/>
          <w:b/>
          <w:color w:val="auto"/>
          <w:sz w:val="32"/>
          <w:szCs w:val="32"/>
          <w:highlight w:val="none"/>
        </w:rPr>
      </w:pPr>
    </w:p>
    <w:p>
      <w:pPr>
        <w:pStyle w:val="8"/>
        <w:jc w:val="center"/>
        <w:rPr>
          <w:rFonts w:hint="eastAsia" w:ascii="仿宋" w:hAnsi="仿宋" w:eastAsia="仿宋" w:cs="仿宋"/>
          <w:b/>
          <w:color w:val="auto"/>
          <w:sz w:val="32"/>
          <w:szCs w:val="32"/>
          <w:highlight w:val="none"/>
        </w:rPr>
      </w:pPr>
    </w:p>
    <w:p>
      <w:pPr>
        <w:pStyle w:val="8"/>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采购人：</w:t>
      </w:r>
      <w:r>
        <w:rPr>
          <w:rFonts w:hint="eastAsia" w:ascii="仿宋" w:hAnsi="仿宋" w:eastAsia="仿宋" w:cs="仿宋"/>
          <w:b/>
          <w:color w:val="auto"/>
          <w:kern w:val="2"/>
          <w:sz w:val="32"/>
          <w:szCs w:val="32"/>
          <w:highlight w:val="none"/>
          <w:lang w:val="en-US" w:eastAsia="zh-CN" w:bidi="ar-SA"/>
        </w:rPr>
        <w:t>芜湖城市建设集团有限公司</w:t>
      </w:r>
    </w:p>
    <w:p>
      <w:pPr>
        <w:jc w:val="center"/>
        <w:rPr>
          <w:rFonts w:hint="eastAsia" w:ascii="仿宋" w:hAnsi="仿宋" w:eastAsia="仿宋" w:cs="仿宋"/>
          <w:b/>
          <w:color w:val="auto"/>
          <w:sz w:val="36"/>
          <w:szCs w:val="36"/>
          <w:highlight w:val="none"/>
          <w:vertAlign w:val="subscript"/>
        </w:rPr>
      </w:pPr>
    </w:p>
    <w:p>
      <w:pPr>
        <w:jc w:val="center"/>
        <w:rPr>
          <w:rFonts w:hint="eastAsia" w:ascii="仿宋" w:hAnsi="仿宋" w:eastAsia="仿宋" w:cs="仿宋"/>
          <w:b/>
          <w:color w:val="auto"/>
          <w:sz w:val="36"/>
          <w:szCs w:val="36"/>
          <w:highlight w:val="none"/>
        </w:rPr>
      </w:pPr>
      <w:r>
        <w:rPr>
          <w:rFonts w:hint="eastAsia" w:ascii="仿宋" w:hAnsi="仿宋" w:eastAsia="仿宋" w:cs="仿宋"/>
          <w:b/>
          <w:color w:val="auto"/>
          <w:sz w:val="32"/>
          <w:szCs w:val="32"/>
          <w:highlight w:val="none"/>
        </w:rPr>
        <w:t>代理机构：</w:t>
      </w:r>
      <w:r>
        <w:rPr>
          <w:rFonts w:hint="eastAsia" w:ascii="仿宋" w:hAnsi="仿宋" w:eastAsia="仿宋" w:cs="仿宋"/>
          <w:b/>
          <w:color w:val="auto"/>
          <w:kern w:val="2"/>
          <w:sz w:val="32"/>
          <w:szCs w:val="32"/>
          <w:highlight w:val="none"/>
          <w:lang w:val="en-US" w:eastAsia="zh-CN" w:bidi="ar-SA"/>
        </w:rPr>
        <w:t>安徽苏柏亚工程项目管理有限公司</w:t>
      </w:r>
    </w:p>
    <w:p>
      <w:pPr>
        <w:jc w:val="center"/>
        <w:rPr>
          <w:rFonts w:hint="eastAsia" w:ascii="仿宋" w:hAnsi="仿宋" w:eastAsia="仿宋" w:cs="仿宋"/>
          <w:b/>
          <w:color w:val="auto"/>
          <w:sz w:val="36"/>
          <w:szCs w:val="36"/>
          <w:highlight w:val="none"/>
        </w:rPr>
      </w:pPr>
    </w:p>
    <w:p>
      <w:pPr>
        <w:jc w:val="center"/>
        <w:rPr>
          <w:rFonts w:hint="eastAsia" w:ascii="仿宋" w:hAnsi="仿宋" w:eastAsia="仿宋" w:cs="仿宋"/>
          <w:color w:val="auto"/>
          <w:highlight w:val="none"/>
        </w:rPr>
      </w:pPr>
      <w:r>
        <w:rPr>
          <w:rFonts w:hint="eastAsia" w:ascii="仿宋" w:hAnsi="仿宋" w:eastAsia="仿宋" w:cs="仿宋"/>
          <w:b/>
          <w:color w:val="auto"/>
          <w:sz w:val="32"/>
          <w:szCs w:val="32"/>
          <w:highlight w:val="none"/>
          <w:lang w:val="en-US" w:eastAsia="zh-CN"/>
        </w:rPr>
        <w:t>2022</w:t>
      </w:r>
      <w:r>
        <w:rPr>
          <w:rFonts w:hint="eastAsia" w:ascii="仿宋" w:hAnsi="仿宋" w:eastAsia="仿宋" w:cs="仿宋"/>
          <w:b/>
          <w:color w:val="auto"/>
          <w:sz w:val="32"/>
          <w:szCs w:val="32"/>
          <w:highlight w:val="none"/>
        </w:rPr>
        <w:t>年</w:t>
      </w:r>
      <w:r>
        <w:rPr>
          <w:rFonts w:hint="eastAsia" w:ascii="仿宋" w:hAnsi="仿宋" w:eastAsia="仿宋" w:cs="仿宋"/>
          <w:b/>
          <w:color w:val="auto"/>
          <w:sz w:val="32"/>
          <w:szCs w:val="32"/>
          <w:highlight w:val="none"/>
          <w:lang w:val="en-US" w:eastAsia="zh-CN"/>
        </w:rPr>
        <w:t>07</w:t>
      </w:r>
      <w:r>
        <w:rPr>
          <w:rFonts w:hint="eastAsia" w:ascii="仿宋" w:hAnsi="仿宋" w:eastAsia="仿宋" w:cs="仿宋"/>
          <w:b/>
          <w:color w:val="auto"/>
          <w:sz w:val="32"/>
          <w:szCs w:val="32"/>
          <w:highlight w:val="none"/>
        </w:rPr>
        <w:t>月</w:t>
      </w:r>
      <w:r>
        <w:rPr>
          <w:rFonts w:hint="eastAsia" w:ascii="仿宋" w:hAnsi="仿宋" w:eastAsia="仿宋" w:cs="仿宋"/>
          <w:b/>
          <w:color w:val="auto"/>
          <w:sz w:val="32"/>
          <w:szCs w:val="32"/>
          <w:highlight w:val="none"/>
          <w:lang w:val="en-US" w:eastAsia="zh-CN"/>
        </w:rPr>
        <w:t>06</w:t>
      </w:r>
      <w:r>
        <w:rPr>
          <w:rFonts w:hint="eastAsia" w:ascii="仿宋" w:hAnsi="仿宋" w:eastAsia="仿宋" w:cs="仿宋"/>
          <w:b/>
          <w:color w:val="auto"/>
          <w:sz w:val="32"/>
          <w:szCs w:val="32"/>
          <w:highlight w:val="none"/>
        </w:rPr>
        <w:t>日</w:t>
      </w:r>
    </w:p>
    <w:p>
      <w:pPr>
        <w:rPr>
          <w:rFonts w:hint="eastAsia" w:ascii="仿宋" w:hAnsi="仿宋" w:eastAsia="仿宋" w:cs="仿宋"/>
          <w:color w:val="auto"/>
          <w:highlight w:val="none"/>
        </w:rPr>
      </w:pPr>
    </w:p>
    <w:p>
      <w:pPr>
        <w:pStyle w:val="4"/>
        <w:spacing w:line="500" w:lineRule="exact"/>
        <w:jc w:val="center"/>
        <w:rPr>
          <w:rFonts w:hint="eastAsia" w:ascii="仿宋" w:hAnsi="仿宋" w:eastAsia="仿宋" w:cs="仿宋"/>
          <w:color w:val="auto"/>
          <w:highlight w:val="none"/>
        </w:rPr>
      </w:pPr>
      <w:r>
        <w:rPr>
          <w:rFonts w:hint="eastAsia" w:ascii="仿宋" w:hAnsi="仿宋" w:eastAsia="仿宋" w:cs="仿宋"/>
          <w:color w:val="auto"/>
          <w:highlight w:val="none"/>
        </w:rPr>
        <w:br w:type="page"/>
      </w:r>
      <w:r>
        <w:rPr>
          <w:rFonts w:hint="eastAsia" w:ascii="仿宋" w:hAnsi="仿宋" w:eastAsia="仿宋" w:cs="仿宋"/>
          <w:color w:val="auto"/>
          <w:highlight w:val="none"/>
        </w:rPr>
        <w:t>招标文件目录</w:t>
      </w:r>
    </w:p>
    <w:tbl>
      <w:tblPr>
        <w:tblStyle w:val="18"/>
        <w:tblW w:w="9243" w:type="dxa"/>
        <w:jc w:val="center"/>
        <w:tblLayout w:type="fixed"/>
        <w:tblCellMar>
          <w:top w:w="0" w:type="dxa"/>
          <w:left w:w="108" w:type="dxa"/>
          <w:bottom w:w="0" w:type="dxa"/>
          <w:right w:w="108" w:type="dxa"/>
        </w:tblCellMar>
      </w:tblPr>
      <w:tblGrid>
        <w:gridCol w:w="1418"/>
        <w:gridCol w:w="7825"/>
      </w:tblGrid>
      <w:tr>
        <w:tblPrEx>
          <w:tblCellMar>
            <w:top w:w="0" w:type="dxa"/>
            <w:left w:w="108" w:type="dxa"/>
            <w:bottom w:w="0" w:type="dxa"/>
            <w:right w:w="108" w:type="dxa"/>
          </w:tblCellMar>
        </w:tblPrEx>
        <w:trPr>
          <w:trHeight w:val="105" w:hRule="atLeast"/>
          <w:jc w:val="center"/>
        </w:trPr>
        <w:tc>
          <w:tcPr>
            <w:tcW w:w="1418" w:type="dxa"/>
            <w:noWrap w:val="0"/>
            <w:vAlign w:val="center"/>
          </w:tcPr>
          <w:p>
            <w:pPr>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第一章</w:t>
            </w:r>
          </w:p>
        </w:tc>
        <w:tc>
          <w:tcPr>
            <w:tcW w:w="7825" w:type="dxa"/>
            <w:noWrap w:val="0"/>
            <w:vAlign w:val="center"/>
          </w:tcPr>
          <w:p>
            <w:pPr>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kern w:val="2"/>
                <w:sz w:val="28"/>
                <w:szCs w:val="28"/>
                <w:highlight w:val="none"/>
                <w:lang w:val="en-US" w:eastAsia="zh-CN" w:bidi="ar-SA"/>
              </w:rPr>
              <w:t>招</w:t>
            </w:r>
            <w:r>
              <w:rPr>
                <w:rFonts w:hint="eastAsia" w:ascii="仿宋" w:hAnsi="仿宋" w:eastAsia="仿宋" w:cs="仿宋"/>
                <w:b/>
                <w:color w:val="auto"/>
                <w:sz w:val="28"/>
                <w:szCs w:val="28"/>
                <w:highlight w:val="none"/>
              </w:rPr>
              <w:t>标公告</w:t>
            </w:r>
          </w:p>
        </w:tc>
      </w:tr>
      <w:tr>
        <w:tblPrEx>
          <w:tblCellMar>
            <w:top w:w="0" w:type="dxa"/>
            <w:left w:w="108" w:type="dxa"/>
            <w:bottom w:w="0" w:type="dxa"/>
            <w:right w:w="108" w:type="dxa"/>
          </w:tblCellMar>
        </w:tblPrEx>
        <w:trPr>
          <w:trHeight w:val="105" w:hRule="atLeast"/>
          <w:jc w:val="center"/>
        </w:trPr>
        <w:tc>
          <w:tcPr>
            <w:tcW w:w="1418" w:type="dxa"/>
            <w:noWrap w:val="0"/>
            <w:vAlign w:val="center"/>
          </w:tcPr>
          <w:p>
            <w:pPr>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第二章</w:t>
            </w:r>
          </w:p>
        </w:tc>
        <w:tc>
          <w:tcPr>
            <w:tcW w:w="7825" w:type="dxa"/>
            <w:noWrap w:val="0"/>
            <w:vAlign w:val="center"/>
          </w:tcPr>
          <w:p>
            <w:pPr>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 xml:space="preserve">供应商须知前附表 </w:t>
            </w:r>
          </w:p>
        </w:tc>
      </w:tr>
      <w:tr>
        <w:tblPrEx>
          <w:tblCellMar>
            <w:top w:w="0" w:type="dxa"/>
            <w:left w:w="108" w:type="dxa"/>
            <w:bottom w:w="0" w:type="dxa"/>
            <w:right w:w="108" w:type="dxa"/>
          </w:tblCellMar>
        </w:tblPrEx>
        <w:trPr>
          <w:trHeight w:val="105" w:hRule="atLeast"/>
          <w:jc w:val="center"/>
        </w:trPr>
        <w:tc>
          <w:tcPr>
            <w:tcW w:w="1418" w:type="dxa"/>
            <w:noWrap w:val="0"/>
            <w:vAlign w:val="center"/>
          </w:tcPr>
          <w:p>
            <w:pPr>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第三章</w:t>
            </w:r>
          </w:p>
        </w:tc>
        <w:tc>
          <w:tcPr>
            <w:tcW w:w="7825" w:type="dxa"/>
            <w:noWrap w:val="0"/>
            <w:vAlign w:val="center"/>
          </w:tcPr>
          <w:p>
            <w:pPr>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合同条款前附表</w:t>
            </w:r>
          </w:p>
        </w:tc>
      </w:tr>
      <w:tr>
        <w:tblPrEx>
          <w:tblCellMar>
            <w:top w:w="0" w:type="dxa"/>
            <w:left w:w="108" w:type="dxa"/>
            <w:bottom w:w="0" w:type="dxa"/>
            <w:right w:w="108" w:type="dxa"/>
          </w:tblCellMar>
        </w:tblPrEx>
        <w:trPr>
          <w:trHeight w:val="105" w:hRule="atLeast"/>
          <w:jc w:val="center"/>
        </w:trPr>
        <w:tc>
          <w:tcPr>
            <w:tcW w:w="1418" w:type="dxa"/>
            <w:noWrap w:val="0"/>
            <w:vAlign w:val="center"/>
          </w:tcPr>
          <w:p>
            <w:pPr>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第四章</w:t>
            </w:r>
          </w:p>
        </w:tc>
        <w:tc>
          <w:tcPr>
            <w:tcW w:w="7825" w:type="dxa"/>
            <w:noWrap w:val="0"/>
            <w:vAlign w:val="center"/>
          </w:tcPr>
          <w:p>
            <w:pPr>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采购需求</w:t>
            </w:r>
          </w:p>
        </w:tc>
      </w:tr>
      <w:tr>
        <w:tblPrEx>
          <w:tblCellMar>
            <w:top w:w="0" w:type="dxa"/>
            <w:left w:w="108" w:type="dxa"/>
            <w:bottom w:w="0" w:type="dxa"/>
            <w:right w:w="108" w:type="dxa"/>
          </w:tblCellMar>
        </w:tblPrEx>
        <w:trPr>
          <w:trHeight w:val="105" w:hRule="atLeast"/>
          <w:jc w:val="center"/>
        </w:trPr>
        <w:tc>
          <w:tcPr>
            <w:tcW w:w="1418" w:type="dxa"/>
            <w:noWrap w:val="0"/>
            <w:vAlign w:val="center"/>
          </w:tcPr>
          <w:p>
            <w:pPr>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第五章</w:t>
            </w:r>
          </w:p>
        </w:tc>
        <w:tc>
          <w:tcPr>
            <w:tcW w:w="7825" w:type="dxa"/>
            <w:noWrap w:val="0"/>
            <w:vAlign w:val="center"/>
          </w:tcPr>
          <w:p>
            <w:pPr>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评标办法及评分规则</w:t>
            </w:r>
          </w:p>
        </w:tc>
      </w:tr>
      <w:tr>
        <w:tblPrEx>
          <w:tblCellMar>
            <w:top w:w="0" w:type="dxa"/>
            <w:left w:w="108" w:type="dxa"/>
            <w:bottom w:w="0" w:type="dxa"/>
            <w:right w:w="108" w:type="dxa"/>
          </w:tblCellMar>
        </w:tblPrEx>
        <w:trPr>
          <w:trHeight w:val="105" w:hRule="atLeast"/>
          <w:jc w:val="center"/>
        </w:trPr>
        <w:tc>
          <w:tcPr>
            <w:tcW w:w="1418" w:type="dxa"/>
            <w:noWrap w:val="0"/>
            <w:vAlign w:val="center"/>
          </w:tcPr>
          <w:p>
            <w:pPr>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第</w:t>
            </w:r>
            <w:r>
              <w:rPr>
                <w:rFonts w:hint="eastAsia" w:ascii="仿宋" w:hAnsi="仿宋" w:eastAsia="仿宋" w:cs="仿宋"/>
                <w:b/>
                <w:color w:val="auto"/>
                <w:sz w:val="28"/>
                <w:szCs w:val="28"/>
                <w:highlight w:val="none"/>
                <w:lang w:val="en-US" w:eastAsia="zh-CN"/>
              </w:rPr>
              <w:t>六</w:t>
            </w:r>
            <w:r>
              <w:rPr>
                <w:rFonts w:hint="eastAsia" w:ascii="仿宋" w:hAnsi="仿宋" w:eastAsia="仿宋" w:cs="仿宋"/>
                <w:b/>
                <w:color w:val="auto"/>
                <w:sz w:val="28"/>
                <w:szCs w:val="28"/>
                <w:highlight w:val="none"/>
              </w:rPr>
              <w:t>章</w:t>
            </w:r>
          </w:p>
        </w:tc>
        <w:tc>
          <w:tcPr>
            <w:tcW w:w="7825" w:type="dxa"/>
            <w:noWrap w:val="0"/>
            <w:vAlign w:val="center"/>
          </w:tcPr>
          <w:p>
            <w:pPr>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投标文件格式</w:t>
            </w:r>
          </w:p>
        </w:tc>
      </w:tr>
    </w:tbl>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4"/>
        <w:spacing w:line="500" w:lineRule="exact"/>
        <w:jc w:val="center"/>
        <w:rPr>
          <w:rFonts w:hint="eastAsia" w:ascii="仿宋" w:hAnsi="仿宋" w:eastAsia="仿宋" w:cs="仿宋"/>
          <w:color w:val="auto"/>
          <w:highlight w:val="none"/>
        </w:rPr>
      </w:pPr>
      <w:r>
        <w:rPr>
          <w:rFonts w:hint="eastAsia" w:ascii="仿宋" w:hAnsi="仿宋" w:eastAsia="仿宋" w:cs="仿宋"/>
          <w:color w:val="auto"/>
          <w:highlight w:val="none"/>
        </w:rPr>
        <w:br w:type="page"/>
      </w:r>
      <w:r>
        <w:rPr>
          <w:rFonts w:hint="eastAsia" w:ascii="仿宋" w:hAnsi="仿宋" w:eastAsia="仿宋" w:cs="仿宋"/>
          <w:color w:val="auto"/>
          <w:highlight w:val="none"/>
        </w:rPr>
        <w:t>第一章  招标公告</w:t>
      </w:r>
    </w:p>
    <w:p>
      <w:pPr>
        <w:spacing w:line="360" w:lineRule="auto"/>
        <w:jc w:val="center"/>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lang w:val="en-US" w:eastAsia="zh-CN"/>
        </w:rPr>
        <w:t>防汛排涝应急设备采购项目（2包）</w:t>
      </w:r>
      <w:r>
        <w:rPr>
          <w:rFonts w:hint="eastAsia" w:ascii="仿宋" w:hAnsi="仿宋" w:eastAsia="仿宋" w:cs="仿宋"/>
          <w:b/>
          <w:color w:val="auto"/>
          <w:sz w:val="30"/>
          <w:szCs w:val="30"/>
          <w:highlight w:val="none"/>
        </w:rPr>
        <w:t>项目公开招标公告</w:t>
      </w:r>
    </w:p>
    <w:p>
      <w:pPr>
        <w:pStyle w:val="15"/>
        <w:shd w:val="clear" w:color="auto" w:fill="FFFFFF"/>
        <w:spacing w:before="0" w:beforeAutospacing="0" w:after="0" w:afterAutospacing="0" w:line="360" w:lineRule="auto"/>
        <w:jc w:val="both"/>
        <w:rPr>
          <w:rFonts w:hint="eastAsia" w:ascii="仿宋" w:hAnsi="仿宋" w:eastAsia="仿宋" w:cs="仿宋"/>
          <w:color w:val="auto"/>
          <w:szCs w:val="24"/>
          <w:highlight w:val="none"/>
        </w:rPr>
      </w:pPr>
      <w:r>
        <w:rPr>
          <w:rFonts w:hint="eastAsia" w:ascii="仿宋" w:hAnsi="仿宋" w:eastAsia="仿宋" w:cs="仿宋"/>
          <w:b/>
          <w:bCs/>
          <w:color w:val="auto"/>
          <w:szCs w:val="24"/>
          <w:highlight w:val="none"/>
        </w:rPr>
        <w:t>项目概况</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防汛排涝应急设备采购项目（2包）招标</w:t>
      </w:r>
      <w:r>
        <w:rPr>
          <w:rFonts w:hint="eastAsia" w:ascii="仿宋" w:hAnsi="仿宋" w:eastAsia="仿宋" w:cs="仿宋"/>
          <w:color w:val="auto"/>
          <w:szCs w:val="24"/>
          <w:highlight w:val="none"/>
        </w:rPr>
        <w:t>项目的潜在</w:t>
      </w:r>
      <w:r>
        <w:rPr>
          <w:rFonts w:hint="eastAsia" w:ascii="仿宋" w:hAnsi="仿宋" w:eastAsia="仿宋" w:cs="仿宋"/>
          <w:color w:val="auto"/>
          <w:szCs w:val="24"/>
          <w:highlight w:val="none"/>
          <w:lang w:val="en-US" w:eastAsia="zh-CN"/>
        </w:rPr>
        <w:t>投标人</w:t>
      </w:r>
      <w:r>
        <w:rPr>
          <w:rFonts w:hint="eastAsia" w:ascii="仿宋" w:hAnsi="仿宋" w:eastAsia="仿宋" w:cs="仿宋"/>
          <w:color w:val="auto"/>
          <w:szCs w:val="24"/>
          <w:highlight w:val="none"/>
        </w:rPr>
        <w:t>应在</w:t>
      </w:r>
      <w:r>
        <w:rPr>
          <w:rFonts w:hint="eastAsia" w:ascii="仿宋" w:hAnsi="仿宋" w:eastAsia="仿宋" w:cs="仿宋"/>
          <w:color w:val="auto"/>
          <w:szCs w:val="24"/>
          <w:highlight w:val="none"/>
          <w:lang w:val="en-US" w:eastAsia="zh-CN"/>
        </w:rPr>
        <w:t>安徽苏柏亚工程项目管理有限公司</w:t>
      </w:r>
      <w:r>
        <w:rPr>
          <w:rFonts w:hint="eastAsia" w:ascii="仿宋" w:hAnsi="仿宋" w:eastAsia="仿宋" w:cs="仿宋"/>
          <w:color w:val="auto"/>
          <w:szCs w:val="24"/>
          <w:highlight w:val="none"/>
        </w:rPr>
        <w:t>网站获取招标文件。</w:t>
      </w:r>
    </w:p>
    <w:p>
      <w:pPr>
        <w:pStyle w:val="15"/>
        <w:shd w:val="clear" w:color="auto" w:fill="FFFFFF"/>
        <w:spacing w:before="0" w:beforeAutospacing="0" w:after="0" w:afterAutospacing="0" w:line="360" w:lineRule="auto"/>
        <w:jc w:val="both"/>
        <w:rPr>
          <w:rFonts w:hint="eastAsia" w:ascii="仿宋" w:hAnsi="仿宋" w:eastAsia="仿宋" w:cs="仿宋"/>
          <w:color w:val="auto"/>
          <w:szCs w:val="24"/>
          <w:highlight w:val="none"/>
        </w:rPr>
      </w:pPr>
      <w:r>
        <w:rPr>
          <w:rFonts w:hint="eastAsia" w:ascii="仿宋" w:hAnsi="仿宋" w:eastAsia="仿宋" w:cs="仿宋"/>
          <w:b/>
          <w:bCs/>
          <w:color w:val="auto"/>
          <w:szCs w:val="24"/>
          <w:highlight w:val="none"/>
        </w:rPr>
        <w:t>一、项目基本情况</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1.项目编号：</w:t>
      </w:r>
      <w:r>
        <w:rPr>
          <w:rFonts w:hint="eastAsia" w:ascii="仿宋" w:hAnsi="仿宋" w:eastAsia="仿宋" w:cs="仿宋"/>
          <w:color w:val="auto"/>
          <w:szCs w:val="24"/>
          <w:highlight w:val="none"/>
          <w:lang w:val="en-US" w:eastAsia="zh-CN"/>
        </w:rPr>
        <w:t>AS30CG2022HW0044</w:t>
      </w:r>
      <w:r>
        <w:rPr>
          <w:rFonts w:hint="eastAsia" w:ascii="仿宋" w:hAnsi="仿宋" w:eastAsia="仿宋" w:cs="仿宋"/>
          <w:color w:val="auto"/>
          <w:szCs w:val="24"/>
          <w:highlight w:val="none"/>
        </w:rPr>
        <w:t xml:space="preserve"> </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2.项目名称：</w:t>
      </w:r>
      <w:r>
        <w:rPr>
          <w:rFonts w:hint="eastAsia" w:ascii="仿宋" w:hAnsi="仿宋" w:eastAsia="仿宋" w:cs="仿宋"/>
          <w:color w:val="auto"/>
          <w:szCs w:val="24"/>
          <w:highlight w:val="none"/>
          <w:lang w:val="en-US" w:eastAsia="zh-CN"/>
        </w:rPr>
        <w:t>防汛排涝应急设备采购项目（2包）</w:t>
      </w:r>
      <w:r>
        <w:rPr>
          <w:rFonts w:hint="eastAsia" w:ascii="仿宋" w:hAnsi="仿宋" w:eastAsia="仿宋" w:cs="仿宋"/>
          <w:color w:val="auto"/>
          <w:szCs w:val="24"/>
          <w:highlight w:val="none"/>
        </w:rPr>
        <w:t xml:space="preserve"> </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rPr>
        <w:t>最高限价：</w:t>
      </w:r>
      <w:r>
        <w:rPr>
          <w:rFonts w:hint="eastAsia" w:ascii="仿宋" w:hAnsi="仿宋" w:eastAsia="仿宋" w:cs="仿宋"/>
          <w:color w:val="auto"/>
          <w:szCs w:val="24"/>
          <w:highlight w:val="none"/>
          <w:lang w:val="en-US" w:eastAsia="zh-CN"/>
        </w:rPr>
        <w:t>290万元</w:t>
      </w:r>
      <w:r>
        <w:rPr>
          <w:rFonts w:hint="eastAsia" w:ascii="仿宋" w:hAnsi="仿宋" w:eastAsia="仿宋" w:cs="仿宋"/>
          <w:color w:val="auto"/>
          <w:szCs w:val="24"/>
          <w:highlight w:val="none"/>
        </w:rPr>
        <w:t xml:space="preserve"> </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4</w:t>
      </w:r>
      <w:r>
        <w:rPr>
          <w:rFonts w:hint="eastAsia" w:ascii="仿宋" w:hAnsi="仿宋" w:eastAsia="仿宋" w:cs="仿宋"/>
          <w:color w:val="auto"/>
          <w:szCs w:val="24"/>
          <w:highlight w:val="none"/>
        </w:rPr>
        <w:t>.采购需求</w:t>
      </w:r>
      <w:r>
        <w:rPr>
          <w:rFonts w:hint="eastAsia" w:ascii="仿宋" w:hAnsi="仿宋" w:eastAsia="仿宋" w:cs="仿宋"/>
          <w:color w:val="auto"/>
          <w:szCs w:val="24"/>
          <w:highlight w:val="none"/>
          <w:lang w:val="en-US" w:eastAsia="zh-CN"/>
        </w:rPr>
        <w:t>：采购大流量排水抢险车暂定2台（根据实际需求情况调整采购数量）</w:t>
      </w:r>
      <w:r>
        <w:rPr>
          <w:rFonts w:hint="eastAsia" w:ascii="仿宋" w:hAnsi="仿宋" w:eastAsia="仿宋" w:cs="仿宋"/>
          <w:color w:val="auto"/>
          <w:szCs w:val="24"/>
          <w:highlight w:val="none"/>
        </w:rPr>
        <w:t>（包括但不限于标的的名称、数量、简要技术需求或服务要求等）具体详见附件。</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.合同履行期限：</w:t>
      </w:r>
      <w:r>
        <w:rPr>
          <w:rFonts w:hint="eastAsia" w:ascii="仿宋" w:hAnsi="仿宋" w:eastAsia="仿宋" w:cs="仿宋"/>
          <w:color w:val="auto"/>
          <w:szCs w:val="24"/>
          <w:highlight w:val="none"/>
          <w:lang w:val="en-US" w:eastAsia="zh-CN"/>
        </w:rPr>
        <w:t>15个日历天</w:t>
      </w:r>
      <w:r>
        <w:rPr>
          <w:rFonts w:hint="eastAsia" w:ascii="仿宋" w:hAnsi="仿宋" w:eastAsia="仿宋" w:cs="仿宋"/>
          <w:color w:val="auto"/>
          <w:szCs w:val="24"/>
          <w:highlight w:val="none"/>
          <w:lang w:eastAsia="zh-CN"/>
        </w:rPr>
        <w:t>。</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.本项目</w:t>
      </w:r>
      <w:r>
        <w:rPr>
          <w:rFonts w:hint="eastAsia" w:ascii="仿宋" w:hAnsi="仿宋" w:eastAsia="仿宋" w:cs="仿宋"/>
          <w:color w:val="auto"/>
          <w:szCs w:val="24"/>
          <w:highlight w:val="none"/>
          <w:lang w:val="en-US" w:eastAsia="zh-CN"/>
        </w:rPr>
        <w:t>不</w:t>
      </w:r>
      <w:r>
        <w:rPr>
          <w:rFonts w:hint="eastAsia" w:ascii="仿宋" w:hAnsi="仿宋" w:eastAsia="仿宋" w:cs="仿宋"/>
          <w:color w:val="auto"/>
          <w:szCs w:val="24"/>
          <w:highlight w:val="none"/>
        </w:rPr>
        <w:t>接受联合体投标。</w:t>
      </w:r>
    </w:p>
    <w:p>
      <w:pPr>
        <w:pStyle w:val="15"/>
        <w:shd w:val="clear" w:color="auto" w:fill="FFFFFF"/>
        <w:spacing w:before="0" w:beforeAutospacing="0" w:after="0" w:afterAutospacing="0" w:line="360" w:lineRule="auto"/>
        <w:jc w:val="both"/>
        <w:rPr>
          <w:rFonts w:hint="eastAsia" w:ascii="仿宋" w:hAnsi="仿宋" w:eastAsia="仿宋" w:cs="仿宋"/>
          <w:color w:val="auto"/>
          <w:szCs w:val="24"/>
          <w:highlight w:val="none"/>
        </w:rPr>
      </w:pPr>
      <w:r>
        <w:rPr>
          <w:rFonts w:hint="eastAsia" w:ascii="仿宋" w:hAnsi="仿宋" w:eastAsia="仿宋" w:cs="仿宋"/>
          <w:b/>
          <w:bCs/>
          <w:color w:val="auto"/>
          <w:szCs w:val="24"/>
          <w:highlight w:val="none"/>
        </w:rPr>
        <w:t>二、申请人的资格要求</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1.满足《中华人民共和国政府采购法》第二十二条规定。</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2.需满足的资格要求：</w:t>
      </w:r>
      <w:r>
        <w:rPr>
          <w:rFonts w:hint="eastAsia" w:ascii="仿宋" w:hAnsi="仿宋" w:eastAsia="仿宋" w:cs="仿宋"/>
          <w:color w:val="auto"/>
          <w:szCs w:val="24"/>
          <w:highlight w:val="none"/>
          <w:lang w:val="en-US" w:eastAsia="zh-CN"/>
        </w:rPr>
        <w:t>独立法人资格</w:t>
      </w:r>
      <w:r>
        <w:rPr>
          <w:rFonts w:hint="eastAsia" w:ascii="仿宋" w:hAnsi="仿宋" w:eastAsia="仿宋" w:cs="仿宋"/>
          <w:color w:val="auto"/>
          <w:szCs w:val="24"/>
          <w:highlight w:val="none"/>
        </w:rPr>
        <w:t xml:space="preserve"> </w:t>
      </w:r>
      <w:r>
        <w:rPr>
          <w:rFonts w:hint="eastAsia" w:ascii="仿宋" w:hAnsi="仿宋" w:eastAsia="仿宋" w:cs="仿宋"/>
          <w:color w:val="auto"/>
          <w:szCs w:val="24"/>
          <w:highlight w:val="none"/>
          <w:lang w:eastAsia="zh-CN"/>
        </w:rPr>
        <w:t>。</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3.本项目的特定资格要求：</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3.1供应商须符合下列情形之一（不良行为记录以《芜湖市公共资源交易投标人（供应商）不良行为信息记录披露管理办法》（公管【2021】7号）为准）：</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3.1</w:t>
      </w:r>
      <w:r>
        <w:rPr>
          <w:rFonts w:hint="eastAsia" w:ascii="仿宋" w:hAnsi="仿宋" w:eastAsia="仿宋" w:cs="仿宋"/>
          <w:color w:val="auto"/>
          <w:szCs w:val="24"/>
          <w:highlight w:val="none"/>
          <w:lang w:val="en-US" w:eastAsia="zh-CN"/>
        </w:rPr>
        <w:t>.1</w:t>
      </w:r>
      <w:r>
        <w:rPr>
          <w:rFonts w:hint="eastAsia" w:ascii="仿宋" w:hAnsi="仿宋" w:eastAsia="仿宋" w:cs="仿宋"/>
          <w:color w:val="auto"/>
          <w:szCs w:val="24"/>
          <w:highlight w:val="none"/>
        </w:rPr>
        <w:t>未被市、县市区公共资源交易监管部门或其他行政管理部门记不良行为记录；</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3.1</w:t>
      </w: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rPr>
        <w:t>曾被市、县市区公共资源交易监管部门或其他行政管理部门记不良行为记录，投标截止日不在披露期内。</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3.2如项目接受联合体投标，对联合体应提出相关资格要求；如属特定行业项目，供应商应当具备特定行业法定准入要求。</w:t>
      </w:r>
    </w:p>
    <w:p>
      <w:pPr>
        <w:pStyle w:val="15"/>
        <w:shd w:val="clear" w:color="auto" w:fill="FFFFFF"/>
        <w:spacing w:before="0" w:beforeAutospacing="0" w:after="0" w:afterAutospacing="0" w:line="360" w:lineRule="auto"/>
        <w:jc w:val="both"/>
        <w:rPr>
          <w:rFonts w:hint="eastAsia" w:ascii="仿宋" w:hAnsi="仿宋" w:eastAsia="仿宋" w:cs="仿宋"/>
          <w:color w:val="auto"/>
          <w:szCs w:val="24"/>
          <w:highlight w:val="none"/>
        </w:rPr>
      </w:pPr>
      <w:r>
        <w:rPr>
          <w:rFonts w:hint="eastAsia" w:ascii="仿宋" w:hAnsi="仿宋" w:eastAsia="仿宋" w:cs="仿宋"/>
          <w:b/>
          <w:bCs/>
          <w:color w:val="auto"/>
          <w:szCs w:val="24"/>
          <w:highlight w:val="none"/>
        </w:rPr>
        <w:t>三、获取招标文件</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1.时间：</w:t>
      </w:r>
      <w:r>
        <w:rPr>
          <w:rFonts w:hint="eastAsia" w:ascii="仿宋" w:hAnsi="仿宋" w:eastAsia="仿宋" w:cs="仿宋"/>
          <w:color w:val="auto"/>
          <w:szCs w:val="24"/>
          <w:highlight w:val="none"/>
          <w:lang w:val="en-US" w:eastAsia="zh-CN"/>
        </w:rPr>
        <w:t>2022</w:t>
      </w:r>
      <w:r>
        <w:rPr>
          <w:rFonts w:hint="eastAsia" w:ascii="仿宋" w:hAnsi="仿宋" w:eastAsia="仿宋" w:cs="仿宋"/>
          <w:color w:val="auto"/>
          <w:szCs w:val="24"/>
          <w:highlight w:val="none"/>
        </w:rPr>
        <w:t>年</w:t>
      </w:r>
      <w:r>
        <w:rPr>
          <w:rFonts w:hint="eastAsia" w:ascii="仿宋" w:hAnsi="仿宋" w:eastAsia="仿宋" w:cs="仿宋"/>
          <w:color w:val="auto"/>
          <w:szCs w:val="24"/>
          <w:highlight w:val="none"/>
          <w:lang w:val="en-US" w:eastAsia="zh-CN"/>
        </w:rPr>
        <w:t>07</w:t>
      </w:r>
      <w:r>
        <w:rPr>
          <w:rFonts w:hint="eastAsia" w:ascii="仿宋" w:hAnsi="仿宋" w:eastAsia="仿宋" w:cs="仿宋"/>
          <w:color w:val="auto"/>
          <w:szCs w:val="24"/>
          <w:highlight w:val="none"/>
        </w:rPr>
        <w:t>月</w:t>
      </w:r>
      <w:r>
        <w:rPr>
          <w:rFonts w:hint="eastAsia" w:ascii="仿宋" w:hAnsi="仿宋" w:eastAsia="仿宋" w:cs="仿宋"/>
          <w:color w:val="auto"/>
          <w:szCs w:val="24"/>
          <w:highlight w:val="none"/>
          <w:lang w:val="en-US" w:eastAsia="zh-CN"/>
        </w:rPr>
        <w:t>06</w:t>
      </w:r>
      <w:r>
        <w:rPr>
          <w:rFonts w:hint="eastAsia" w:ascii="仿宋" w:hAnsi="仿宋" w:eastAsia="仿宋" w:cs="仿宋"/>
          <w:color w:val="auto"/>
          <w:szCs w:val="24"/>
          <w:highlight w:val="none"/>
        </w:rPr>
        <w:t>日至</w:t>
      </w:r>
      <w:r>
        <w:rPr>
          <w:rFonts w:hint="eastAsia" w:ascii="仿宋" w:hAnsi="仿宋" w:eastAsia="仿宋" w:cs="仿宋"/>
          <w:color w:val="auto"/>
          <w:szCs w:val="24"/>
          <w:highlight w:val="none"/>
          <w:lang w:val="en-US" w:eastAsia="zh-CN"/>
        </w:rPr>
        <w:t>2022</w:t>
      </w:r>
      <w:r>
        <w:rPr>
          <w:rFonts w:hint="eastAsia" w:ascii="仿宋" w:hAnsi="仿宋" w:eastAsia="仿宋" w:cs="仿宋"/>
          <w:color w:val="auto"/>
          <w:szCs w:val="24"/>
          <w:highlight w:val="none"/>
        </w:rPr>
        <w:t>年</w:t>
      </w:r>
      <w:r>
        <w:rPr>
          <w:rFonts w:hint="eastAsia" w:ascii="仿宋" w:hAnsi="仿宋" w:eastAsia="仿宋" w:cs="仿宋"/>
          <w:color w:val="auto"/>
          <w:szCs w:val="24"/>
          <w:highlight w:val="none"/>
          <w:lang w:val="en-US" w:eastAsia="zh-CN"/>
        </w:rPr>
        <w:t>07</w:t>
      </w:r>
      <w:r>
        <w:rPr>
          <w:rFonts w:hint="eastAsia" w:ascii="仿宋" w:hAnsi="仿宋" w:eastAsia="仿宋" w:cs="仿宋"/>
          <w:color w:val="auto"/>
          <w:szCs w:val="24"/>
          <w:highlight w:val="none"/>
        </w:rPr>
        <w:t>月</w:t>
      </w:r>
      <w:r>
        <w:rPr>
          <w:rFonts w:hint="eastAsia" w:ascii="仿宋" w:hAnsi="仿宋" w:eastAsia="仿宋" w:cs="仿宋"/>
          <w:color w:val="auto"/>
          <w:szCs w:val="24"/>
          <w:highlight w:val="none"/>
          <w:lang w:val="en-US" w:eastAsia="zh-CN"/>
        </w:rPr>
        <w:t>12</w:t>
      </w:r>
      <w:r>
        <w:rPr>
          <w:rFonts w:hint="eastAsia" w:ascii="仿宋" w:hAnsi="仿宋" w:eastAsia="仿宋" w:cs="仿宋"/>
          <w:color w:val="auto"/>
          <w:szCs w:val="24"/>
          <w:highlight w:val="none"/>
        </w:rPr>
        <w:t>日，每天上午</w:t>
      </w:r>
      <w:r>
        <w:rPr>
          <w:rFonts w:hint="eastAsia" w:ascii="仿宋" w:hAnsi="仿宋" w:eastAsia="仿宋" w:cs="仿宋"/>
          <w:color w:val="auto"/>
          <w:szCs w:val="24"/>
          <w:highlight w:val="none"/>
          <w:lang w:val="en-US" w:eastAsia="zh-CN"/>
        </w:rPr>
        <w:t>09:00</w:t>
      </w:r>
      <w:r>
        <w:rPr>
          <w:rFonts w:hint="eastAsia" w:ascii="仿宋" w:hAnsi="仿宋" w:eastAsia="仿宋" w:cs="仿宋"/>
          <w:color w:val="auto"/>
          <w:szCs w:val="24"/>
          <w:highlight w:val="none"/>
        </w:rPr>
        <w:t xml:space="preserve"> 至</w:t>
      </w:r>
      <w:r>
        <w:rPr>
          <w:rFonts w:hint="eastAsia" w:ascii="仿宋" w:hAnsi="仿宋" w:eastAsia="仿宋" w:cs="仿宋"/>
          <w:color w:val="auto"/>
          <w:szCs w:val="24"/>
          <w:highlight w:val="none"/>
          <w:lang w:val="en-US" w:eastAsia="zh-CN"/>
        </w:rPr>
        <w:t>12:00</w:t>
      </w:r>
      <w:r>
        <w:rPr>
          <w:rFonts w:hint="eastAsia" w:ascii="仿宋" w:hAnsi="仿宋" w:eastAsia="仿宋" w:cs="仿宋"/>
          <w:color w:val="auto"/>
          <w:szCs w:val="24"/>
          <w:highlight w:val="none"/>
        </w:rPr>
        <w:t>,下午</w:t>
      </w:r>
      <w:r>
        <w:rPr>
          <w:rFonts w:hint="eastAsia" w:ascii="仿宋" w:hAnsi="仿宋" w:eastAsia="仿宋" w:cs="仿宋"/>
          <w:color w:val="auto"/>
          <w:szCs w:val="24"/>
          <w:highlight w:val="none"/>
          <w:lang w:val="en-US" w:eastAsia="zh-CN"/>
        </w:rPr>
        <w:t>12:00</w:t>
      </w:r>
      <w:r>
        <w:rPr>
          <w:rFonts w:hint="eastAsia" w:ascii="仿宋" w:hAnsi="仿宋" w:eastAsia="仿宋" w:cs="仿宋"/>
          <w:color w:val="auto"/>
          <w:szCs w:val="24"/>
          <w:highlight w:val="none"/>
        </w:rPr>
        <w:t xml:space="preserve"> 至</w:t>
      </w:r>
      <w:r>
        <w:rPr>
          <w:rFonts w:hint="eastAsia" w:ascii="仿宋" w:hAnsi="仿宋" w:eastAsia="仿宋" w:cs="仿宋"/>
          <w:color w:val="auto"/>
          <w:szCs w:val="24"/>
          <w:highlight w:val="none"/>
          <w:lang w:val="en-US" w:eastAsia="zh-CN"/>
        </w:rPr>
        <w:t>17:00</w:t>
      </w:r>
      <w:r>
        <w:rPr>
          <w:rFonts w:hint="eastAsia" w:ascii="仿宋" w:hAnsi="仿宋" w:eastAsia="仿宋" w:cs="仿宋"/>
          <w:color w:val="auto"/>
          <w:szCs w:val="24"/>
          <w:highlight w:val="none"/>
        </w:rPr>
        <w:t>（北京时间，法定节假日除外）</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2.地点：</w:t>
      </w:r>
      <w:r>
        <w:rPr>
          <w:rFonts w:hint="eastAsia" w:ascii="仿宋" w:hAnsi="仿宋" w:eastAsia="仿宋" w:cs="仿宋"/>
          <w:color w:val="auto"/>
          <w:szCs w:val="24"/>
          <w:highlight w:val="none"/>
          <w:lang w:val="en-US" w:eastAsia="zh-CN"/>
        </w:rPr>
        <w:t>安徽苏柏亚工程项目管理有限公司</w:t>
      </w:r>
      <w:r>
        <w:rPr>
          <w:rFonts w:hint="eastAsia" w:ascii="仿宋" w:hAnsi="仿宋" w:eastAsia="仿宋" w:cs="仿宋"/>
          <w:color w:val="auto"/>
          <w:szCs w:val="24"/>
          <w:highlight w:val="none"/>
        </w:rPr>
        <w:t xml:space="preserve">。 </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rPr>
        <w:t>方式：凡有意参加投标者，</w:t>
      </w:r>
      <w:r>
        <w:rPr>
          <w:rFonts w:hint="eastAsia" w:ascii="仿宋" w:hAnsi="仿宋" w:eastAsia="仿宋" w:cs="仿宋"/>
          <w:color w:val="auto"/>
          <w:szCs w:val="24"/>
          <w:highlight w:val="none"/>
          <w:lang w:val="en-US" w:eastAsia="zh-CN"/>
        </w:rPr>
        <w:t>需投标报名</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rPr>
        <w:t>请于获取时间内登录</w:t>
      </w:r>
      <w:r>
        <w:rPr>
          <w:rFonts w:hint="eastAsia" w:ascii="仿宋" w:hAnsi="仿宋" w:eastAsia="仿宋" w:cs="仿宋"/>
          <w:color w:val="auto"/>
          <w:szCs w:val="24"/>
          <w:highlight w:val="none"/>
          <w:lang w:val="en-US" w:eastAsia="zh-CN"/>
        </w:rPr>
        <w:t>安徽苏柏亚工程项目管理有限公司</w:t>
      </w:r>
      <w:r>
        <w:rPr>
          <w:rFonts w:hint="eastAsia" w:ascii="仿宋" w:hAnsi="仿宋" w:eastAsia="仿宋" w:cs="仿宋"/>
          <w:color w:val="auto"/>
          <w:szCs w:val="24"/>
          <w:highlight w:val="none"/>
        </w:rPr>
        <w:t>网</w:t>
      </w:r>
      <w:r>
        <w:rPr>
          <w:rFonts w:hint="eastAsia" w:ascii="仿宋" w:hAnsi="仿宋" w:eastAsia="仿宋" w:cs="仿宋"/>
          <w:color w:val="auto"/>
          <w:szCs w:val="24"/>
          <w:highlight w:val="none"/>
          <w:lang w:val="en-US" w:eastAsia="zh-CN"/>
        </w:rPr>
        <w:t>站根据报名要求进行报名，报名后联系代理机构人员发送招标文件</w:t>
      </w:r>
      <w:r>
        <w:rPr>
          <w:rFonts w:hint="eastAsia" w:ascii="仿宋" w:hAnsi="仿宋" w:eastAsia="仿宋" w:cs="仿宋"/>
          <w:color w:val="auto"/>
          <w:szCs w:val="24"/>
          <w:highlight w:val="none"/>
        </w:rPr>
        <w:t>。</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4.售价：获取招标文件不收取任何费用</w:t>
      </w:r>
      <w:r>
        <w:rPr>
          <w:rFonts w:hint="eastAsia" w:ascii="仿宋" w:hAnsi="仿宋" w:eastAsia="仿宋" w:cs="仿宋"/>
          <w:color w:val="auto"/>
          <w:szCs w:val="24"/>
          <w:highlight w:val="none"/>
          <w:lang w:eastAsia="zh-CN"/>
        </w:rPr>
        <w:t>。</w:t>
      </w:r>
    </w:p>
    <w:p>
      <w:pPr>
        <w:pStyle w:val="15"/>
        <w:shd w:val="clear" w:color="auto" w:fill="FFFFFF"/>
        <w:spacing w:before="0" w:beforeAutospacing="0" w:after="0" w:afterAutospacing="0" w:line="360" w:lineRule="auto"/>
        <w:jc w:val="both"/>
        <w:rPr>
          <w:rFonts w:hint="eastAsia" w:ascii="仿宋" w:hAnsi="仿宋" w:eastAsia="仿宋" w:cs="仿宋"/>
          <w:color w:val="auto"/>
          <w:szCs w:val="24"/>
          <w:highlight w:val="none"/>
        </w:rPr>
      </w:pPr>
      <w:r>
        <w:rPr>
          <w:rFonts w:hint="eastAsia" w:ascii="仿宋" w:hAnsi="仿宋" w:eastAsia="仿宋" w:cs="仿宋"/>
          <w:b/>
          <w:bCs/>
          <w:color w:val="auto"/>
          <w:szCs w:val="24"/>
          <w:highlight w:val="none"/>
        </w:rPr>
        <w:t>四、提交投标文件截止时间、开标时间和地点</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1.时间：</w:t>
      </w:r>
      <w:r>
        <w:rPr>
          <w:rFonts w:hint="eastAsia" w:ascii="仿宋" w:hAnsi="仿宋" w:eastAsia="仿宋" w:cs="仿宋"/>
          <w:color w:val="auto"/>
          <w:szCs w:val="24"/>
          <w:highlight w:val="none"/>
          <w:lang w:val="en-US" w:eastAsia="zh-CN"/>
        </w:rPr>
        <w:t>2022</w:t>
      </w:r>
      <w:r>
        <w:rPr>
          <w:rFonts w:hint="eastAsia" w:ascii="仿宋" w:hAnsi="仿宋" w:eastAsia="仿宋" w:cs="仿宋"/>
          <w:color w:val="auto"/>
          <w:szCs w:val="24"/>
          <w:highlight w:val="none"/>
        </w:rPr>
        <w:t>年</w:t>
      </w:r>
      <w:r>
        <w:rPr>
          <w:rFonts w:hint="eastAsia" w:ascii="仿宋" w:hAnsi="仿宋" w:eastAsia="仿宋" w:cs="仿宋"/>
          <w:color w:val="auto"/>
          <w:szCs w:val="24"/>
          <w:highlight w:val="none"/>
          <w:lang w:val="en-US" w:eastAsia="zh-CN"/>
        </w:rPr>
        <w:t>07</w:t>
      </w:r>
      <w:r>
        <w:rPr>
          <w:rFonts w:hint="eastAsia" w:ascii="仿宋" w:hAnsi="仿宋" w:eastAsia="仿宋" w:cs="仿宋"/>
          <w:color w:val="auto"/>
          <w:szCs w:val="24"/>
          <w:highlight w:val="none"/>
        </w:rPr>
        <w:t>月</w:t>
      </w:r>
      <w:r>
        <w:rPr>
          <w:rFonts w:hint="eastAsia" w:ascii="仿宋" w:hAnsi="仿宋" w:eastAsia="仿宋" w:cs="仿宋"/>
          <w:color w:val="auto"/>
          <w:szCs w:val="24"/>
          <w:highlight w:val="none"/>
          <w:lang w:val="en-US" w:eastAsia="zh-CN"/>
        </w:rPr>
        <w:t>13</w:t>
      </w:r>
      <w:r>
        <w:rPr>
          <w:rFonts w:hint="eastAsia" w:ascii="仿宋" w:hAnsi="仿宋" w:eastAsia="仿宋" w:cs="仿宋"/>
          <w:color w:val="auto"/>
          <w:szCs w:val="24"/>
          <w:highlight w:val="none"/>
        </w:rPr>
        <w:t>日</w:t>
      </w:r>
      <w:r>
        <w:rPr>
          <w:rFonts w:hint="eastAsia" w:ascii="仿宋" w:hAnsi="仿宋" w:eastAsia="仿宋" w:cs="仿宋"/>
          <w:color w:val="auto"/>
          <w:szCs w:val="24"/>
          <w:highlight w:val="none"/>
          <w:lang w:val="en-US" w:eastAsia="zh-CN"/>
        </w:rPr>
        <w:t>10</w:t>
      </w:r>
      <w:r>
        <w:rPr>
          <w:rFonts w:hint="eastAsia" w:ascii="仿宋" w:hAnsi="仿宋" w:eastAsia="仿宋" w:cs="仿宋"/>
          <w:color w:val="auto"/>
          <w:szCs w:val="24"/>
          <w:highlight w:val="none"/>
        </w:rPr>
        <w:t>点</w:t>
      </w:r>
      <w:r>
        <w:rPr>
          <w:rFonts w:hint="eastAsia" w:ascii="仿宋" w:hAnsi="仿宋" w:eastAsia="仿宋" w:cs="仿宋"/>
          <w:color w:val="auto"/>
          <w:szCs w:val="24"/>
          <w:highlight w:val="none"/>
          <w:lang w:val="en-US" w:eastAsia="zh-CN"/>
        </w:rPr>
        <w:t>30</w:t>
      </w:r>
      <w:r>
        <w:rPr>
          <w:rFonts w:hint="eastAsia" w:ascii="仿宋" w:hAnsi="仿宋" w:eastAsia="仿宋" w:cs="仿宋"/>
          <w:color w:val="auto"/>
          <w:szCs w:val="24"/>
          <w:highlight w:val="none"/>
        </w:rPr>
        <w:t>分（北京时间）</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2.地点：</w:t>
      </w:r>
      <w:r>
        <w:rPr>
          <w:rFonts w:hint="eastAsia" w:ascii="仿宋" w:hAnsi="仿宋" w:eastAsia="仿宋" w:cs="仿宋"/>
          <w:color w:val="auto"/>
          <w:szCs w:val="24"/>
          <w:highlight w:val="none"/>
          <w:lang w:val="en-US" w:eastAsia="zh-CN"/>
        </w:rPr>
        <w:t>芜湖市镜湖区观澜路1号滨江商务楼24层会议室。</w:t>
      </w:r>
    </w:p>
    <w:p>
      <w:pPr>
        <w:pStyle w:val="15"/>
        <w:shd w:val="clear" w:color="auto" w:fill="FFFFFF"/>
        <w:spacing w:before="0" w:beforeAutospacing="0" w:after="0" w:afterAutospacing="0" w:line="360" w:lineRule="auto"/>
        <w:jc w:val="both"/>
        <w:rPr>
          <w:rFonts w:hint="eastAsia" w:ascii="仿宋" w:hAnsi="仿宋" w:eastAsia="仿宋" w:cs="仿宋"/>
          <w:color w:val="auto"/>
          <w:szCs w:val="24"/>
          <w:highlight w:val="none"/>
        </w:rPr>
      </w:pPr>
      <w:r>
        <w:rPr>
          <w:rFonts w:hint="eastAsia" w:ascii="仿宋" w:hAnsi="仿宋" w:eastAsia="仿宋" w:cs="仿宋"/>
          <w:b/>
          <w:bCs/>
          <w:color w:val="auto"/>
          <w:szCs w:val="24"/>
          <w:highlight w:val="none"/>
        </w:rPr>
        <w:t>五、公告期限</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自本公告发布之日起</w:t>
      </w: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rPr>
        <w:t>个工作日。</w:t>
      </w:r>
    </w:p>
    <w:p>
      <w:pPr>
        <w:pStyle w:val="15"/>
        <w:shd w:val="clear" w:color="auto" w:fill="FFFFFF"/>
        <w:spacing w:before="0" w:beforeAutospacing="0" w:after="0" w:afterAutospacing="0" w:line="360" w:lineRule="auto"/>
        <w:jc w:val="both"/>
        <w:rPr>
          <w:rFonts w:hint="eastAsia" w:ascii="仿宋" w:hAnsi="仿宋" w:eastAsia="仿宋" w:cs="仿宋"/>
          <w:color w:val="auto"/>
          <w:szCs w:val="24"/>
          <w:highlight w:val="none"/>
        </w:rPr>
      </w:pPr>
      <w:r>
        <w:rPr>
          <w:rFonts w:hint="eastAsia" w:ascii="仿宋" w:hAnsi="仿宋" w:eastAsia="仿宋" w:cs="仿宋"/>
          <w:b/>
          <w:bCs/>
          <w:color w:val="auto"/>
          <w:szCs w:val="24"/>
          <w:highlight w:val="none"/>
        </w:rPr>
        <w:t>六、其他补充事宜</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1.资金来源：□省级财政资金 □市本级财政资金 □县区级财政资金 </w:t>
      </w:r>
      <w:r>
        <w:rPr>
          <w:rFonts w:hint="eastAsia" w:ascii="仿宋" w:hAnsi="仿宋" w:eastAsia="仿宋" w:cs="仿宋"/>
          <w:color w:val="auto"/>
          <w:szCs w:val="24"/>
          <w:highlight w:val="none"/>
        </w:rPr>
        <w:sym w:font="Wingdings 2" w:char="0052"/>
      </w:r>
      <w:r>
        <w:rPr>
          <w:rFonts w:hint="eastAsia" w:ascii="仿宋" w:hAnsi="仿宋" w:eastAsia="仿宋" w:cs="仿宋"/>
          <w:color w:val="auto"/>
          <w:szCs w:val="24"/>
          <w:highlight w:val="none"/>
        </w:rPr>
        <w:t xml:space="preserve">自筹资金 </w:t>
      </w:r>
      <w:r>
        <w:rPr>
          <w:rFonts w:hint="eastAsia" w:ascii="仿宋" w:hAnsi="仿宋" w:eastAsia="仿宋" w:cs="仿宋"/>
          <w:color w:val="auto"/>
          <w:szCs w:val="24"/>
          <w:highlight w:val="none"/>
        </w:rPr>
        <w:sym w:font="Wingdings 2" w:char="00A3"/>
      </w:r>
      <w:r>
        <w:rPr>
          <w:rFonts w:hint="eastAsia" w:ascii="仿宋" w:hAnsi="仿宋" w:eastAsia="仿宋" w:cs="仿宋"/>
          <w:color w:val="auto"/>
          <w:szCs w:val="24"/>
          <w:highlight w:val="none"/>
        </w:rPr>
        <w:t>其他（请说明资金来源及比例）：</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2.本项目免收投标保证金。</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rPr>
        <w:t>代理服务费：</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rPr>
        <w:t>.1支付方：□采购人；</w:t>
      </w:r>
      <w:r>
        <w:rPr>
          <w:rFonts w:hint="eastAsia" w:ascii="仿宋" w:hAnsi="仿宋" w:eastAsia="仿宋" w:cs="仿宋"/>
          <w:color w:val="auto"/>
          <w:szCs w:val="24"/>
          <w:highlight w:val="none"/>
        </w:rPr>
        <w:sym w:font="Wingdings 2" w:char="0052"/>
      </w:r>
      <w:r>
        <w:rPr>
          <w:rFonts w:hint="eastAsia" w:ascii="仿宋" w:hAnsi="仿宋" w:eastAsia="仿宋" w:cs="仿宋"/>
          <w:color w:val="auto"/>
          <w:szCs w:val="24"/>
          <w:highlight w:val="none"/>
        </w:rPr>
        <w:t>中标供应商。</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val="en-US" w:eastAsia="zh-CN"/>
        </w:rPr>
        <w:t>本项目代理服务费金额：</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中标价100万以内，中标价*1.2%；</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中标价超过100万，100万*1.2%+（中标价-100万）*0.66%；</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不足3000元的按照3000收取。</w:t>
      </w:r>
    </w:p>
    <w:p>
      <w:pPr>
        <w:pStyle w:val="15"/>
        <w:shd w:val="clear" w:color="auto" w:fill="FFFFFF"/>
        <w:spacing w:before="0" w:beforeAutospacing="0" w:after="0" w:afterAutospacing="0" w:line="360" w:lineRule="auto"/>
        <w:jc w:val="both"/>
        <w:rPr>
          <w:rFonts w:hint="eastAsia" w:ascii="仿宋" w:hAnsi="仿宋" w:eastAsia="仿宋" w:cs="仿宋"/>
          <w:color w:val="auto"/>
          <w:szCs w:val="24"/>
          <w:highlight w:val="none"/>
        </w:rPr>
      </w:pPr>
      <w:r>
        <w:rPr>
          <w:rFonts w:hint="eastAsia" w:ascii="仿宋" w:hAnsi="仿宋" w:eastAsia="仿宋" w:cs="仿宋"/>
          <w:b/>
          <w:bCs/>
          <w:color w:val="auto"/>
          <w:szCs w:val="24"/>
          <w:highlight w:val="none"/>
        </w:rPr>
        <w:t>七、对本次招标提出询问，请按以下方式联系</w:t>
      </w:r>
      <w:r>
        <w:rPr>
          <w:rFonts w:hint="eastAsia" w:ascii="仿宋" w:hAnsi="仿宋" w:eastAsia="仿宋" w:cs="仿宋"/>
          <w:color w:val="auto"/>
          <w:szCs w:val="24"/>
          <w:highlight w:val="none"/>
        </w:rPr>
        <w:t xml:space="preserve"> </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1.采购人信息</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名称：</w:t>
      </w:r>
      <w:r>
        <w:rPr>
          <w:rFonts w:hint="eastAsia" w:ascii="仿宋" w:hAnsi="仿宋" w:eastAsia="仿宋" w:cs="仿宋"/>
          <w:color w:val="auto"/>
          <w:szCs w:val="24"/>
          <w:highlight w:val="none"/>
          <w:lang w:val="en-US" w:eastAsia="zh-CN"/>
        </w:rPr>
        <w:t>芜湖城市建设集团有限公司</w:t>
      </w:r>
      <w:r>
        <w:rPr>
          <w:rFonts w:hint="eastAsia" w:ascii="仿宋" w:hAnsi="仿宋" w:eastAsia="仿宋" w:cs="仿宋"/>
          <w:color w:val="auto"/>
          <w:szCs w:val="24"/>
          <w:highlight w:val="none"/>
        </w:rPr>
        <w:t>　　　　　</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地址：</w:t>
      </w:r>
      <w:r>
        <w:rPr>
          <w:rFonts w:hint="eastAsia" w:ascii="仿宋" w:hAnsi="仿宋" w:eastAsia="仿宋" w:cs="仿宋"/>
          <w:color w:val="auto"/>
          <w:szCs w:val="24"/>
          <w:highlight w:val="none"/>
          <w:lang w:val="en-US" w:eastAsia="zh-CN"/>
        </w:rPr>
        <w:t>芜湖市镜湖区观澜路1号滨江商务楼28层</w:t>
      </w:r>
      <w:r>
        <w:rPr>
          <w:rFonts w:hint="eastAsia" w:ascii="仿宋" w:hAnsi="仿宋" w:eastAsia="仿宋" w:cs="仿宋"/>
          <w:color w:val="auto"/>
          <w:szCs w:val="24"/>
          <w:highlight w:val="none"/>
        </w:rPr>
        <w:t>　　　　　　　　</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联系方式：</w:t>
      </w:r>
      <w:r>
        <w:rPr>
          <w:rFonts w:hint="eastAsia" w:ascii="仿宋" w:hAnsi="仿宋" w:eastAsia="仿宋" w:cs="仿宋"/>
          <w:color w:val="auto"/>
          <w:szCs w:val="24"/>
          <w:highlight w:val="none"/>
          <w:lang w:val="en-US" w:eastAsia="zh-CN"/>
        </w:rPr>
        <w:t>18019520031</w:t>
      </w:r>
      <w:r>
        <w:rPr>
          <w:rFonts w:hint="eastAsia" w:ascii="仿宋" w:hAnsi="仿宋" w:eastAsia="仿宋" w:cs="仿宋"/>
          <w:color w:val="auto"/>
          <w:szCs w:val="24"/>
          <w:highlight w:val="none"/>
        </w:rPr>
        <w:t>　　　　　　　</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2.代理机构信息（如有）</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名称：</w:t>
      </w:r>
      <w:r>
        <w:rPr>
          <w:rFonts w:hint="eastAsia" w:ascii="仿宋" w:hAnsi="仿宋" w:eastAsia="仿宋" w:cs="仿宋"/>
          <w:color w:val="auto"/>
          <w:szCs w:val="24"/>
          <w:highlight w:val="none"/>
          <w:lang w:val="en-US" w:eastAsia="zh-CN"/>
        </w:rPr>
        <w:t>安徽苏柏亚工程项目管理有限公司</w:t>
      </w:r>
      <w:r>
        <w:rPr>
          <w:rFonts w:hint="eastAsia" w:ascii="仿宋" w:hAnsi="仿宋" w:eastAsia="仿宋" w:cs="仿宋"/>
          <w:color w:val="auto"/>
          <w:szCs w:val="24"/>
          <w:highlight w:val="none"/>
        </w:rPr>
        <w:t xml:space="preserve">　 </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地址：</w:t>
      </w:r>
      <w:r>
        <w:rPr>
          <w:rFonts w:hint="eastAsia" w:ascii="仿宋" w:hAnsi="仿宋" w:eastAsia="仿宋" w:cs="仿宋"/>
          <w:color w:val="auto"/>
          <w:szCs w:val="24"/>
          <w:highlight w:val="none"/>
          <w:lang w:val="en-US" w:eastAsia="zh-CN"/>
        </w:rPr>
        <w:t>皖江财富广场A4座8楼</w:t>
      </w:r>
      <w:r>
        <w:rPr>
          <w:rFonts w:hint="eastAsia" w:ascii="仿宋" w:hAnsi="仿宋" w:eastAsia="仿宋" w:cs="仿宋"/>
          <w:color w:val="auto"/>
          <w:szCs w:val="24"/>
          <w:highlight w:val="none"/>
        </w:rPr>
        <w:t xml:space="preserve">　 </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联系方式：</w:t>
      </w:r>
      <w:r>
        <w:rPr>
          <w:rFonts w:hint="eastAsia" w:ascii="仿宋" w:hAnsi="仿宋" w:eastAsia="仿宋" w:cs="仿宋"/>
          <w:color w:val="auto"/>
          <w:szCs w:val="24"/>
          <w:highlight w:val="none"/>
          <w:lang w:val="en-US" w:eastAsia="zh-CN"/>
        </w:rPr>
        <w:t xml:space="preserve">17756548535 　 </w:t>
      </w:r>
    </w:p>
    <w:p>
      <w:pPr>
        <w:pStyle w:val="15"/>
        <w:shd w:val="clear" w:color="auto" w:fill="FFFFFF"/>
        <w:spacing w:before="0" w:beforeAutospacing="0" w:after="0" w:afterAutospacing="0" w:line="360" w:lineRule="auto"/>
        <w:ind w:firstLine="424" w:firstLineChars="177"/>
        <w:jc w:val="right"/>
        <w:rPr>
          <w:rFonts w:hint="eastAsia" w:ascii="仿宋" w:hAnsi="仿宋" w:eastAsia="仿宋" w:cs="仿宋"/>
          <w:color w:val="auto"/>
          <w:szCs w:val="24"/>
          <w:highlight w:val="none"/>
        </w:rPr>
      </w:pPr>
      <w:r>
        <w:rPr>
          <w:rFonts w:hint="eastAsia" w:ascii="仿宋" w:hAnsi="仿宋" w:eastAsia="仿宋" w:cs="仿宋"/>
          <w:color w:val="auto"/>
          <w:szCs w:val="24"/>
          <w:highlight w:val="none"/>
        </w:rPr>
        <w:t>采购人：</w:t>
      </w:r>
      <w:r>
        <w:rPr>
          <w:rFonts w:hint="eastAsia" w:ascii="仿宋" w:hAnsi="仿宋" w:eastAsia="仿宋" w:cs="仿宋"/>
          <w:color w:val="auto"/>
          <w:szCs w:val="24"/>
          <w:highlight w:val="none"/>
          <w:lang w:val="en-US" w:eastAsia="zh-CN"/>
        </w:rPr>
        <w:t>芜湖城市建设集团有限公司</w:t>
      </w:r>
    </w:p>
    <w:p>
      <w:pPr>
        <w:pStyle w:val="15"/>
        <w:shd w:val="clear" w:color="auto" w:fill="FFFFFF"/>
        <w:spacing w:before="0" w:beforeAutospacing="0" w:after="0" w:afterAutospacing="0" w:line="360" w:lineRule="auto"/>
        <w:ind w:firstLine="424" w:firstLineChars="177"/>
        <w:jc w:val="right"/>
        <w:rPr>
          <w:rFonts w:hint="eastAsia" w:ascii="仿宋" w:hAnsi="仿宋" w:eastAsia="仿宋" w:cs="仿宋"/>
          <w:color w:val="auto"/>
          <w:szCs w:val="24"/>
          <w:highlight w:val="none"/>
        </w:rPr>
      </w:pPr>
      <w:r>
        <w:rPr>
          <w:rFonts w:hint="eastAsia" w:ascii="仿宋" w:hAnsi="仿宋" w:eastAsia="仿宋" w:cs="仿宋"/>
          <w:color w:val="auto"/>
          <w:szCs w:val="24"/>
          <w:highlight w:val="none"/>
        </w:rPr>
        <w:t>代理机构：</w:t>
      </w:r>
      <w:r>
        <w:rPr>
          <w:rFonts w:hint="eastAsia" w:ascii="仿宋" w:hAnsi="仿宋" w:eastAsia="仿宋" w:cs="仿宋"/>
          <w:color w:val="auto"/>
          <w:szCs w:val="24"/>
          <w:highlight w:val="none"/>
          <w:lang w:val="en-US" w:eastAsia="zh-CN"/>
        </w:rPr>
        <w:t>安徽苏柏亚工程项目管理有限公司</w:t>
      </w:r>
    </w:p>
    <w:p>
      <w:pPr>
        <w:pStyle w:val="15"/>
        <w:shd w:val="clear" w:color="auto" w:fill="FFFFFF"/>
        <w:spacing w:before="0" w:beforeAutospacing="0" w:after="0" w:afterAutospacing="0" w:line="360" w:lineRule="auto"/>
        <w:ind w:firstLine="424" w:firstLineChars="177"/>
        <w:jc w:val="right"/>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2022</w:t>
      </w:r>
      <w:r>
        <w:rPr>
          <w:rFonts w:hint="eastAsia" w:ascii="仿宋" w:hAnsi="仿宋" w:eastAsia="仿宋" w:cs="仿宋"/>
          <w:color w:val="auto"/>
          <w:szCs w:val="24"/>
          <w:highlight w:val="none"/>
        </w:rPr>
        <w:t>年</w:t>
      </w:r>
      <w:r>
        <w:rPr>
          <w:rFonts w:hint="eastAsia" w:ascii="仿宋" w:hAnsi="仿宋" w:eastAsia="仿宋" w:cs="仿宋"/>
          <w:color w:val="auto"/>
          <w:szCs w:val="24"/>
          <w:highlight w:val="none"/>
          <w:lang w:val="en-US" w:eastAsia="zh-CN"/>
        </w:rPr>
        <w:t>07</w:t>
      </w:r>
      <w:r>
        <w:rPr>
          <w:rFonts w:hint="eastAsia" w:ascii="仿宋" w:hAnsi="仿宋" w:eastAsia="仿宋" w:cs="仿宋"/>
          <w:color w:val="auto"/>
          <w:szCs w:val="24"/>
          <w:highlight w:val="none"/>
        </w:rPr>
        <w:t>月</w:t>
      </w:r>
      <w:r>
        <w:rPr>
          <w:rFonts w:hint="eastAsia" w:ascii="仿宋" w:hAnsi="仿宋" w:eastAsia="仿宋" w:cs="仿宋"/>
          <w:color w:val="auto"/>
          <w:szCs w:val="24"/>
          <w:highlight w:val="none"/>
          <w:lang w:val="en-US" w:eastAsia="zh-CN"/>
        </w:rPr>
        <w:t>06</w:t>
      </w:r>
      <w:r>
        <w:rPr>
          <w:rFonts w:hint="eastAsia" w:ascii="仿宋" w:hAnsi="仿宋" w:eastAsia="仿宋" w:cs="仿宋"/>
          <w:color w:val="auto"/>
          <w:szCs w:val="24"/>
          <w:highlight w:val="none"/>
        </w:rPr>
        <w:t>日</w:t>
      </w:r>
    </w:p>
    <w:p>
      <w:pPr>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4"/>
        <w:spacing w:line="500" w:lineRule="exact"/>
        <w:jc w:val="center"/>
        <w:rPr>
          <w:rFonts w:hint="eastAsia" w:ascii="仿宋" w:hAnsi="仿宋" w:eastAsia="仿宋" w:cs="仿宋"/>
          <w:color w:val="auto"/>
          <w:highlight w:val="none"/>
        </w:rPr>
      </w:pPr>
      <w:r>
        <w:rPr>
          <w:rFonts w:hint="eastAsia" w:ascii="仿宋" w:hAnsi="仿宋" w:eastAsia="仿宋" w:cs="仿宋"/>
          <w:color w:val="auto"/>
          <w:highlight w:val="none"/>
        </w:rPr>
        <w:t>第二章  供应商须知前附表</w:t>
      </w:r>
    </w:p>
    <w:tbl>
      <w:tblPr>
        <w:tblStyle w:val="18"/>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945"/>
        <w:gridCol w:w="6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1945"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条款名称</w:t>
            </w:r>
          </w:p>
        </w:tc>
        <w:tc>
          <w:tcPr>
            <w:tcW w:w="6888"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条款内容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07" w:type="dxa"/>
            <w:vMerge w:val="restart"/>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945"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项目性质</w:t>
            </w:r>
          </w:p>
        </w:tc>
        <w:tc>
          <w:tcPr>
            <w:tcW w:w="6888" w:type="dxa"/>
            <w:noWrap w:val="0"/>
            <w:vAlign w:val="center"/>
          </w:tcPr>
          <w:p>
            <w:pPr>
              <w:spacing w:line="360" w:lineRule="exact"/>
              <w:jc w:val="left"/>
              <w:rPr>
                <w:rFonts w:hint="eastAsia" w:ascii="仿宋" w:hAnsi="仿宋" w:eastAsia="仿宋" w:cs="仿宋"/>
                <w:color w:val="auto"/>
                <w:highlight w:val="none"/>
              </w:rPr>
            </w:pPr>
            <w:r>
              <w:rPr>
                <w:rFonts w:hint="eastAsia" w:ascii="仿宋" w:hAnsi="仿宋" w:eastAsia="仿宋" w:cs="仿宋"/>
                <w:color w:val="auto"/>
                <w:sz w:val="24"/>
                <w:szCs w:val="24"/>
                <w:highlight w:val="none"/>
              </w:rPr>
              <w:t>货物采购</w:t>
            </w:r>
            <w:r>
              <w:rPr>
                <w:rFonts w:hint="eastAsia" w:ascii="仿宋" w:hAnsi="仿宋" w:eastAsia="仿宋" w:cs="仿宋"/>
                <w:color w:val="auto"/>
                <w:sz w:val="24"/>
                <w:szCs w:val="24"/>
                <w:highlight w:val="none"/>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7" w:type="dxa"/>
            <w:vMerge w:val="continue"/>
            <w:noWrap w:val="0"/>
            <w:vAlign w:val="center"/>
          </w:tcPr>
          <w:p>
            <w:pPr>
              <w:spacing w:line="360" w:lineRule="exact"/>
              <w:jc w:val="center"/>
              <w:rPr>
                <w:rFonts w:hint="eastAsia" w:ascii="仿宋" w:hAnsi="仿宋" w:eastAsia="仿宋" w:cs="仿宋"/>
                <w:color w:val="auto"/>
                <w:sz w:val="24"/>
                <w:szCs w:val="24"/>
                <w:highlight w:val="none"/>
              </w:rPr>
            </w:pPr>
          </w:p>
        </w:tc>
        <w:tc>
          <w:tcPr>
            <w:tcW w:w="1945"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公告媒体</w:t>
            </w:r>
          </w:p>
        </w:tc>
        <w:tc>
          <w:tcPr>
            <w:tcW w:w="6888" w:type="dxa"/>
            <w:noWrap w:val="0"/>
            <w:vAlign w:val="center"/>
          </w:tcPr>
          <w:p>
            <w:pPr>
              <w:spacing w:line="360" w:lineRule="exact"/>
              <w:jc w:val="left"/>
              <w:rPr>
                <w:rFonts w:hint="default"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eastAsia="zh-CN"/>
              </w:rPr>
              <w:t>安徽苏柏亚工程项目管理有限公司官网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945"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项目分包</w:t>
            </w:r>
          </w:p>
        </w:tc>
        <w:tc>
          <w:tcPr>
            <w:tcW w:w="6888" w:type="dxa"/>
            <w:noWrap w:val="0"/>
            <w:vAlign w:val="center"/>
          </w:tcPr>
          <w:p>
            <w:pPr>
              <w:spacing w:line="360" w:lineRule="exact"/>
              <w:jc w:val="left"/>
              <w:rPr>
                <w:rFonts w:hint="eastAsia" w:ascii="仿宋" w:hAnsi="仿宋" w:eastAsia="仿宋" w:cs="仿宋"/>
                <w:color w:val="auto"/>
                <w:sz w:val="24"/>
                <w:szCs w:val="24"/>
                <w:highlight w:val="none"/>
              </w:rPr>
            </w:pPr>
            <w:r>
              <w:rPr>
                <w:rFonts w:hint="eastAsia" w:ascii="仿宋" w:hAnsi="仿宋" w:eastAsia="仿宋" w:cs="仿宋"/>
                <w:bCs/>
                <w:color w:val="auto"/>
                <w:sz w:val="24"/>
                <w:highlight w:val="none"/>
              </w:rPr>
              <w:sym w:font="Wingdings" w:char="00FE"/>
            </w:r>
            <w:r>
              <w:rPr>
                <w:rFonts w:hint="eastAsia" w:ascii="仿宋" w:hAnsi="仿宋" w:eastAsia="仿宋" w:cs="仿宋"/>
                <w:color w:val="auto"/>
                <w:sz w:val="24"/>
                <w:highlight w:val="none"/>
              </w:rPr>
              <w:t>不分包     □分为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个包：</w:t>
            </w:r>
            <w:r>
              <w:rPr>
                <w:rFonts w:hint="eastAsia" w:ascii="仿宋" w:hAnsi="仿宋" w:eastAsia="仿宋" w:cs="仿宋"/>
                <w:color w:val="auto"/>
                <w:sz w:val="24"/>
                <w:highlight w:val="none"/>
                <w:u w:val="single"/>
              </w:rPr>
              <w:t>（描述分包情况）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tcBorders>
              <w:bottom w:val="single" w:color="auto" w:sz="4" w:space="0"/>
            </w:tcBorders>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1945" w:type="dxa"/>
            <w:tcBorders>
              <w:bottom w:val="single" w:color="auto" w:sz="4" w:space="0"/>
            </w:tcBorders>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踏勘现场</w:t>
            </w:r>
          </w:p>
        </w:tc>
        <w:tc>
          <w:tcPr>
            <w:tcW w:w="6888" w:type="dxa"/>
            <w:tcBorders>
              <w:bottom w:val="single" w:color="auto" w:sz="4" w:space="0"/>
            </w:tcBorders>
            <w:noWrap w:val="0"/>
            <w:vAlign w:val="center"/>
          </w:tcPr>
          <w:p>
            <w:pPr>
              <w:spacing w:line="3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sym w:font="Wingdings" w:char="00FE"/>
            </w:r>
            <w:r>
              <w:rPr>
                <w:rFonts w:hint="eastAsia" w:ascii="仿宋" w:hAnsi="仿宋" w:eastAsia="仿宋" w:cs="仿宋"/>
                <w:color w:val="auto"/>
                <w:sz w:val="24"/>
                <w:szCs w:val="24"/>
                <w:highlight w:val="none"/>
              </w:rPr>
              <w:t>不组织</w:t>
            </w:r>
          </w:p>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sym w:font="Wingdings" w:char="00A8"/>
            </w:r>
            <w:r>
              <w:rPr>
                <w:rFonts w:hint="eastAsia" w:ascii="仿宋" w:hAnsi="仿宋" w:eastAsia="仿宋" w:cs="仿宋"/>
                <w:color w:val="auto"/>
                <w:sz w:val="24"/>
                <w:szCs w:val="24"/>
                <w:highlight w:val="none"/>
              </w:rPr>
              <w:t>组织：</w:t>
            </w:r>
          </w:p>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1.时间：</w:t>
            </w:r>
          </w:p>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2.地点：</w:t>
            </w:r>
          </w:p>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3.联系方式：</w:t>
            </w:r>
          </w:p>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tcBorders>
              <w:bottom w:val="single" w:color="auto" w:sz="4" w:space="0"/>
            </w:tcBorders>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1945" w:type="dxa"/>
            <w:tcBorders>
              <w:bottom w:val="single" w:color="auto" w:sz="4" w:space="0"/>
            </w:tcBorders>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质疑及答复</w:t>
            </w:r>
          </w:p>
        </w:tc>
        <w:tc>
          <w:tcPr>
            <w:tcW w:w="6888" w:type="dxa"/>
            <w:tcBorders>
              <w:bottom w:val="single" w:color="auto" w:sz="4" w:space="0"/>
            </w:tcBorders>
            <w:noWrap w:val="0"/>
            <w:vAlign w:val="center"/>
          </w:tcPr>
          <w:p>
            <w:pPr>
              <w:spacing w:line="3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w:t>
            </w:r>
            <w:r>
              <w:rPr>
                <w:rFonts w:hint="eastAsia" w:ascii="仿宋" w:hAnsi="仿宋" w:eastAsia="仿宋" w:cs="仿宋"/>
                <w:color w:val="auto"/>
                <w:sz w:val="24"/>
                <w:szCs w:val="24"/>
                <w:highlight w:val="none"/>
                <w:lang w:val="en-US" w:eastAsia="zh-CN"/>
              </w:rPr>
              <w:t>在</w:t>
            </w:r>
            <w:r>
              <w:rPr>
                <w:rFonts w:hint="eastAsia" w:ascii="仿宋" w:hAnsi="仿宋" w:eastAsia="仿宋" w:cs="仿宋"/>
                <w:color w:val="auto"/>
                <w:sz w:val="24"/>
                <w:szCs w:val="24"/>
                <w:highlight w:val="none"/>
              </w:rPr>
              <w:t>规定的时间</w:t>
            </w:r>
            <w:r>
              <w:rPr>
                <w:rFonts w:hint="eastAsia" w:ascii="仿宋" w:hAnsi="仿宋" w:eastAsia="仿宋" w:cs="仿宋"/>
                <w:color w:val="auto"/>
                <w:sz w:val="24"/>
                <w:szCs w:val="24"/>
                <w:highlight w:val="none"/>
                <w:lang w:val="en-US" w:eastAsia="zh-CN"/>
              </w:rPr>
              <w:t>内</w:t>
            </w:r>
            <w:r>
              <w:rPr>
                <w:rFonts w:hint="eastAsia" w:ascii="仿宋" w:hAnsi="仿宋" w:eastAsia="仿宋" w:cs="仿宋"/>
                <w:color w:val="auto"/>
                <w:sz w:val="24"/>
                <w:szCs w:val="24"/>
                <w:highlight w:val="none"/>
              </w:rPr>
              <w:t>提出疑问，</w:t>
            </w:r>
            <w:r>
              <w:rPr>
                <w:rFonts w:hint="eastAsia" w:ascii="仿宋" w:hAnsi="仿宋" w:eastAsia="仿宋" w:cs="仿宋"/>
                <w:color w:val="auto"/>
                <w:sz w:val="24"/>
                <w:szCs w:val="24"/>
                <w:highlight w:val="none"/>
                <w:lang w:eastAsia="zh-CN"/>
              </w:rPr>
              <w:t>可以递交到</w:t>
            </w:r>
            <w:r>
              <w:rPr>
                <w:rFonts w:hint="eastAsia" w:ascii="仿宋" w:hAnsi="仿宋" w:eastAsia="仿宋" w:cs="仿宋"/>
                <w:color w:val="auto"/>
                <w:sz w:val="24"/>
                <w:szCs w:val="24"/>
                <w:highlight w:val="none"/>
              </w:rPr>
              <w:t>采购人或代理机构</w:t>
            </w:r>
            <w:r>
              <w:rPr>
                <w:rFonts w:hint="eastAsia" w:ascii="仿宋" w:hAnsi="仿宋" w:eastAsia="仿宋" w:cs="仿宋"/>
                <w:color w:val="auto"/>
                <w:sz w:val="24"/>
                <w:szCs w:val="24"/>
                <w:highlight w:val="none"/>
                <w:lang w:val="en-US" w:eastAsia="zh-CN"/>
              </w:rPr>
              <w:t>处，</w:t>
            </w:r>
            <w:r>
              <w:rPr>
                <w:rFonts w:hint="eastAsia" w:ascii="仿宋" w:hAnsi="仿宋" w:eastAsia="仿宋" w:cs="仿宋"/>
                <w:color w:val="auto"/>
                <w:sz w:val="24"/>
                <w:szCs w:val="24"/>
                <w:highlight w:val="none"/>
              </w:rPr>
              <w:t>采购人或代理机构按有关规定给予答复。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1945"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投标有效期</w:t>
            </w:r>
          </w:p>
        </w:tc>
        <w:tc>
          <w:tcPr>
            <w:tcW w:w="6888" w:type="dxa"/>
            <w:noWrap w:val="0"/>
            <w:vAlign w:val="center"/>
          </w:tcPr>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开</w:t>
            </w:r>
            <w:r>
              <w:rPr>
                <w:rFonts w:hint="eastAsia" w:ascii="仿宋" w:hAnsi="仿宋" w:eastAsia="仿宋" w:cs="仿宋"/>
                <w:color w:val="auto"/>
                <w:sz w:val="24"/>
                <w:szCs w:val="24"/>
                <w:highlight w:val="none"/>
              </w:rPr>
              <w:t>标后56</w:t>
            </w:r>
            <w:r>
              <w:rPr>
                <w:rFonts w:hint="eastAsia" w:ascii="仿宋" w:hAnsi="仿宋" w:eastAsia="仿宋" w:cs="仿宋"/>
                <w:color w:val="auto"/>
                <w:sz w:val="24"/>
                <w:szCs w:val="24"/>
                <w:highlight w:val="none"/>
                <w:lang w:val="en-US" w:eastAsia="zh-CN"/>
              </w:rPr>
              <w:t>个</w:t>
            </w:r>
            <w:r>
              <w:rPr>
                <w:rFonts w:hint="eastAsia" w:ascii="仿宋" w:hAnsi="仿宋" w:eastAsia="仿宋" w:cs="仿宋"/>
                <w:color w:val="auto"/>
                <w:sz w:val="24"/>
                <w:szCs w:val="24"/>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1945" w:type="dxa"/>
            <w:noWrap w:val="0"/>
            <w:vAlign w:val="center"/>
          </w:tcPr>
          <w:p>
            <w:pPr>
              <w:spacing w:line="3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投标截止时间、地点</w:t>
            </w:r>
          </w:p>
        </w:tc>
        <w:tc>
          <w:tcPr>
            <w:tcW w:w="6888" w:type="dxa"/>
            <w:noWrap w:val="0"/>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具体详见招标公告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707"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1945" w:type="dxa"/>
            <w:noWrap w:val="0"/>
            <w:vAlign w:val="center"/>
          </w:tcPr>
          <w:p>
            <w:pPr>
              <w:spacing w:line="3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开标时间、地点</w:t>
            </w:r>
          </w:p>
        </w:tc>
        <w:tc>
          <w:tcPr>
            <w:tcW w:w="6888" w:type="dxa"/>
            <w:noWrap w:val="0"/>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具体详见招标公告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w:t>
            </w:r>
          </w:p>
        </w:tc>
        <w:tc>
          <w:tcPr>
            <w:tcW w:w="1945"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投标文件提交</w:t>
            </w:r>
          </w:p>
        </w:tc>
        <w:tc>
          <w:tcPr>
            <w:tcW w:w="6888" w:type="dxa"/>
            <w:noWrap w:val="0"/>
            <w:vAlign w:val="center"/>
          </w:tcPr>
          <w:p>
            <w:pPr>
              <w:spacing w:line="3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sym w:font="Wingdings" w:char="00FE"/>
            </w:r>
            <w:r>
              <w:rPr>
                <w:rFonts w:hint="eastAsia" w:ascii="仿宋" w:hAnsi="仿宋" w:eastAsia="仿宋" w:cs="仿宋"/>
                <w:color w:val="auto"/>
                <w:sz w:val="24"/>
                <w:szCs w:val="24"/>
                <w:highlight w:val="none"/>
              </w:rPr>
              <w:t>纸质投标文件：正本</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1</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份，副本</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2</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份。</w:t>
            </w:r>
          </w:p>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sym w:font="Wingdings" w:char="00A8"/>
            </w:r>
            <w:r>
              <w:rPr>
                <w:rFonts w:hint="eastAsia" w:ascii="仿宋" w:hAnsi="仿宋" w:eastAsia="仿宋" w:cs="仿宋"/>
                <w:color w:val="auto"/>
                <w:sz w:val="24"/>
                <w:szCs w:val="24"/>
                <w:highlight w:val="none"/>
              </w:rPr>
              <w:t>电子投标文件（电子招标相关要求附后）：</w:t>
            </w:r>
          </w:p>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使用电子招投标的，电子投标文件的提交是指供应商</w:t>
            </w:r>
            <w:r>
              <w:rPr>
                <w:rFonts w:hint="eastAsia" w:ascii="仿宋" w:hAnsi="仿宋" w:eastAsia="仿宋" w:cs="仿宋"/>
                <w:color w:val="auto"/>
                <w:sz w:val="24"/>
                <w:szCs w:val="24"/>
                <w:highlight w:val="none"/>
                <w:lang w:val="en-US" w:eastAsia="zh-CN"/>
              </w:rPr>
              <w:t>在投标截止时间通过邮箱</w:t>
            </w:r>
            <w:r>
              <w:rPr>
                <w:rFonts w:hint="eastAsia" w:ascii="仿宋" w:hAnsi="仿宋" w:eastAsia="仿宋" w:cs="仿宋"/>
                <w:color w:val="auto"/>
                <w:sz w:val="24"/>
                <w:szCs w:val="24"/>
                <w:highlight w:val="none"/>
              </w:rPr>
              <w:t>完成投标文件的</w:t>
            </w:r>
            <w:r>
              <w:rPr>
                <w:rFonts w:hint="eastAsia" w:ascii="仿宋" w:hAnsi="仿宋" w:eastAsia="仿宋" w:cs="仿宋"/>
                <w:color w:val="auto"/>
                <w:sz w:val="24"/>
                <w:szCs w:val="24"/>
                <w:highlight w:val="none"/>
                <w:lang w:val="en-US" w:eastAsia="zh-CN"/>
              </w:rPr>
              <w:t>传送</w:t>
            </w:r>
            <w:r>
              <w:rPr>
                <w:rFonts w:hint="eastAsia" w:ascii="仿宋" w:hAnsi="仿宋" w:eastAsia="仿宋" w:cs="仿宋"/>
                <w:color w:val="auto"/>
                <w:sz w:val="24"/>
                <w:szCs w:val="24"/>
                <w:highlight w:val="none"/>
              </w:rPr>
              <w:t>，未在投标截止时间前完成传</w:t>
            </w:r>
            <w:r>
              <w:rPr>
                <w:rFonts w:hint="eastAsia" w:ascii="仿宋" w:hAnsi="仿宋" w:eastAsia="仿宋" w:cs="仿宋"/>
                <w:color w:val="auto"/>
                <w:sz w:val="24"/>
                <w:szCs w:val="24"/>
                <w:highlight w:val="none"/>
                <w:lang w:val="en-US" w:eastAsia="zh-CN"/>
              </w:rPr>
              <w:t>送</w:t>
            </w:r>
            <w:r>
              <w:rPr>
                <w:rFonts w:hint="eastAsia" w:ascii="仿宋" w:hAnsi="仿宋" w:eastAsia="仿宋" w:cs="仿宋"/>
                <w:color w:val="auto"/>
                <w:sz w:val="24"/>
                <w:szCs w:val="24"/>
                <w:highlight w:val="none"/>
              </w:rPr>
              <w:t>的投标文件视为逾期送达。</w:t>
            </w:r>
            <w:r>
              <w:rPr>
                <w:rFonts w:hint="eastAsia" w:ascii="仿宋" w:hAnsi="仿宋" w:eastAsia="仿宋" w:cs="仿宋"/>
                <w:color w:val="auto"/>
                <w:sz w:val="24"/>
                <w:szCs w:val="24"/>
                <w:highlight w:val="none"/>
                <w:lang w:val="en-US" w:eastAsia="zh-CN"/>
              </w:rPr>
              <w:t>投标截止时间前半小时，由招标人或代理机构组织远程视频开标，投标截止时间到达后，视频开标统一下载投标文件进行唱标。</w:t>
            </w:r>
            <w:r>
              <w:rPr>
                <w:rFonts w:hint="eastAsia" w:ascii="仿宋" w:hAnsi="仿宋" w:eastAsia="仿宋" w:cs="仿宋"/>
                <w:color w:val="auto"/>
                <w:sz w:val="24"/>
                <w:szCs w:val="24"/>
                <w:highlight w:val="none"/>
              </w:rPr>
              <w:t>中标供应商领取中标通知书时，须提供三份纸质投标文件给采购人。（纸质投标文件应与</w:t>
            </w:r>
            <w:r>
              <w:rPr>
                <w:rFonts w:hint="eastAsia" w:ascii="仿宋" w:hAnsi="仿宋" w:eastAsia="仿宋" w:cs="仿宋"/>
                <w:color w:val="auto"/>
                <w:sz w:val="24"/>
                <w:szCs w:val="24"/>
                <w:highlight w:val="none"/>
                <w:lang w:val="en-US" w:eastAsia="zh-CN"/>
              </w:rPr>
              <w:t>上传</w:t>
            </w:r>
            <w:r>
              <w:rPr>
                <w:rFonts w:hint="eastAsia" w:ascii="仿宋" w:hAnsi="仿宋" w:eastAsia="仿宋" w:cs="仿宋"/>
                <w:color w:val="auto"/>
                <w:sz w:val="24"/>
                <w:szCs w:val="24"/>
                <w:highlight w:val="none"/>
              </w:rPr>
              <w:t>电子投标文件一致）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1945"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是否邀请</w:t>
            </w: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rPr>
              <w:t>到现场</w:t>
            </w:r>
          </w:p>
        </w:tc>
        <w:tc>
          <w:tcPr>
            <w:tcW w:w="6888" w:type="dxa"/>
            <w:noWrap w:val="0"/>
            <w:vAlign w:val="center"/>
          </w:tcPr>
          <w:p>
            <w:pPr>
              <w:pStyle w:val="8"/>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□否，本项目不邀请</w:t>
            </w: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lang w:eastAsia="zh-CN"/>
              </w:rPr>
              <w:t>参加开标会，由采购人和代理机构按规定开标。</w:t>
            </w:r>
          </w:p>
          <w:p>
            <w:pPr>
              <w:pStyle w:val="8"/>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yellow"/>
                <w:lang w:eastAsia="zh-CN"/>
              </w:rPr>
              <w:sym w:font="Wingdings 2" w:char="0052"/>
            </w:r>
            <w:r>
              <w:rPr>
                <w:rFonts w:hint="eastAsia" w:ascii="仿宋" w:hAnsi="仿宋" w:eastAsia="仿宋" w:cs="仿宋"/>
                <w:color w:val="auto"/>
                <w:sz w:val="24"/>
                <w:szCs w:val="24"/>
                <w:highlight w:val="yellow"/>
                <w:lang w:eastAsia="zh-CN"/>
              </w:rPr>
              <w:t>是，具体要求：采购人和代理机构在规定的投标截止时间（开标时间）和地点公开开标，邀请所有供应商的法定代表人或其委托代理人参加。供应商须携带：《法定代表人授权委托书》原件或《法定代表人证明》原件（格式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w:t>
            </w:r>
          </w:p>
        </w:tc>
        <w:tc>
          <w:tcPr>
            <w:tcW w:w="1945"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评标办法</w:t>
            </w:r>
          </w:p>
        </w:tc>
        <w:tc>
          <w:tcPr>
            <w:tcW w:w="6888" w:type="dxa"/>
            <w:noWrap w:val="0"/>
            <w:vAlign w:val="center"/>
          </w:tcPr>
          <w:p>
            <w:pPr>
              <w:spacing w:line="360" w:lineRule="exact"/>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本项目采用：</w:t>
            </w:r>
            <w:r>
              <w:rPr>
                <w:rFonts w:hint="eastAsia" w:ascii="仿宋" w:hAnsi="仿宋" w:eastAsia="仿宋" w:cs="仿宋"/>
                <w:color w:val="auto"/>
                <w:sz w:val="24"/>
                <w:szCs w:val="24"/>
                <w:highlight w:val="none"/>
              </w:rPr>
              <w:sym w:font="Wingdings" w:char="00A8"/>
            </w:r>
            <w:r>
              <w:rPr>
                <w:rFonts w:hint="eastAsia" w:ascii="仿宋" w:hAnsi="仿宋" w:eastAsia="仿宋" w:cs="仿宋"/>
                <w:color w:val="auto"/>
                <w:sz w:val="24"/>
                <w:szCs w:val="24"/>
                <w:highlight w:val="none"/>
              </w:rPr>
              <w:t>最低评标价法；</w:t>
            </w:r>
            <w:r>
              <w:rPr>
                <w:rFonts w:hint="eastAsia" w:ascii="仿宋" w:hAnsi="仿宋" w:eastAsia="仿宋" w:cs="仿宋"/>
                <w:color w:val="auto"/>
                <w:sz w:val="24"/>
                <w:szCs w:val="24"/>
                <w:highlight w:val="none"/>
              </w:rPr>
              <w:sym w:font="Wingdings" w:char="00FE"/>
            </w:r>
            <w:r>
              <w:rPr>
                <w:rFonts w:hint="eastAsia" w:ascii="仿宋" w:hAnsi="仿宋" w:eastAsia="仿宋" w:cs="仿宋"/>
                <w:color w:val="auto"/>
                <w:sz w:val="24"/>
                <w:szCs w:val="24"/>
                <w:highlight w:val="none"/>
              </w:rPr>
              <w:t>综合评分法。</w:t>
            </w:r>
          </w:p>
          <w:p>
            <w:pPr>
              <w:spacing w:line="360" w:lineRule="exact"/>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评标办法详见招标文件。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w:t>
            </w:r>
          </w:p>
        </w:tc>
        <w:tc>
          <w:tcPr>
            <w:tcW w:w="1945"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kern w:val="0"/>
                <w:szCs w:val="21"/>
                <w:highlight w:val="none"/>
              </w:rPr>
              <w:t>履约保证金（合同履约担保）</w:t>
            </w:r>
          </w:p>
        </w:tc>
        <w:tc>
          <w:tcPr>
            <w:tcW w:w="6888" w:type="dxa"/>
            <w:noWrap w:val="0"/>
            <w:vAlign w:val="center"/>
          </w:tcPr>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1.履约保证金的金额：中标价的</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line="36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2.履约保证金的形式：支票、汇票、本票或者金融机构、担保机构出具的保函、 </w:t>
            </w:r>
            <w:r>
              <w:rPr>
                <w:rFonts w:hint="eastAsia" w:ascii="仿宋" w:hAnsi="仿宋" w:eastAsia="仿宋" w:cs="仿宋"/>
                <w:color w:val="auto"/>
                <w:sz w:val="24"/>
                <w:szCs w:val="24"/>
                <w:highlight w:val="none"/>
                <w:u w:val="single"/>
              </w:rPr>
              <w:t>        </w:t>
            </w:r>
          </w:p>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3.履约保证金账户</w:t>
            </w:r>
          </w:p>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开户单位：</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w:t>
            </w:r>
          </w:p>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开户银行：</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w:t>
            </w:r>
          </w:p>
          <w:p>
            <w:pPr>
              <w:spacing w:line="360" w:lineRule="exact"/>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账号：</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w:t>
            </w:r>
          </w:p>
        </w:tc>
        <w:tc>
          <w:tcPr>
            <w:tcW w:w="1945"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代理服务费</w:t>
            </w:r>
          </w:p>
        </w:tc>
        <w:tc>
          <w:tcPr>
            <w:tcW w:w="6888" w:type="dxa"/>
            <w:noWrap w:val="0"/>
            <w:vAlign w:val="center"/>
          </w:tcPr>
          <w:p>
            <w:pPr>
              <w:pStyle w:val="37"/>
              <w:rPr>
                <w:rFonts w:hint="eastAsia" w:ascii="仿宋" w:hAnsi="仿宋" w:eastAsia="仿宋" w:cs="仿宋"/>
                <w:color w:val="auto"/>
                <w:highlight w:val="none"/>
              </w:rPr>
            </w:pPr>
            <w:r>
              <w:rPr>
                <w:rFonts w:hint="eastAsia" w:ascii="仿宋" w:hAnsi="仿宋" w:eastAsia="仿宋" w:cs="仿宋"/>
                <w:color w:val="auto"/>
                <w:highlight w:val="none"/>
              </w:rPr>
              <w:t>1.支付方：</w:t>
            </w:r>
            <w:r>
              <w:rPr>
                <w:rFonts w:hint="eastAsia" w:ascii="仿宋" w:hAnsi="仿宋" w:eastAsia="仿宋" w:cs="仿宋"/>
                <w:color w:val="auto"/>
                <w:highlight w:val="none"/>
              </w:rPr>
              <w:sym w:font="Wingdings" w:char="00A8"/>
            </w:r>
            <w:r>
              <w:rPr>
                <w:rFonts w:hint="eastAsia" w:ascii="仿宋" w:hAnsi="仿宋" w:eastAsia="仿宋" w:cs="仿宋"/>
                <w:color w:val="auto"/>
                <w:highlight w:val="none"/>
              </w:rPr>
              <w:t>采购人；</w:t>
            </w:r>
            <w:r>
              <w:rPr>
                <w:rFonts w:hint="eastAsia" w:ascii="仿宋" w:hAnsi="仿宋" w:eastAsia="仿宋" w:cs="仿宋"/>
                <w:color w:val="auto"/>
                <w:highlight w:val="none"/>
              </w:rPr>
              <w:sym w:font="Wingdings" w:char="00FE"/>
            </w:r>
            <w:r>
              <w:rPr>
                <w:rFonts w:hint="eastAsia" w:ascii="仿宋" w:hAnsi="仿宋" w:eastAsia="仿宋" w:cs="仿宋"/>
                <w:color w:val="auto"/>
                <w:highlight w:val="none"/>
              </w:rPr>
              <w:t>中标供应商。</w:t>
            </w:r>
          </w:p>
          <w:p>
            <w:pPr>
              <w:pStyle w:val="37"/>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2.本项目代理服务费金额：</w:t>
            </w:r>
          </w:p>
          <w:p>
            <w:pPr>
              <w:pStyle w:val="37"/>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中标价100万以内，中标价*1.2%；</w:t>
            </w:r>
          </w:p>
          <w:p>
            <w:pPr>
              <w:pStyle w:val="37"/>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中标价超过100万，100万*1.2%+（中标价-100万）*0.66%；</w:t>
            </w:r>
          </w:p>
          <w:p>
            <w:pPr>
              <w:pStyle w:val="37"/>
              <w:rPr>
                <w:rFonts w:hint="eastAsia" w:ascii="仿宋" w:hAnsi="仿宋" w:eastAsia="仿宋" w:cs="仿宋"/>
                <w:color w:val="auto"/>
                <w:highlight w:val="none"/>
              </w:rPr>
            </w:pPr>
            <w:r>
              <w:rPr>
                <w:rFonts w:hint="eastAsia" w:ascii="仿宋" w:hAnsi="仿宋" w:eastAsia="仿宋" w:cs="仿宋"/>
                <w:color w:val="auto"/>
                <w:szCs w:val="24"/>
                <w:highlight w:val="none"/>
                <w:lang w:val="en-US" w:eastAsia="zh-CN"/>
              </w:rPr>
              <w:t>不足3000元的按照3000收取。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noWrap w:val="0"/>
            <w:vAlign w:val="center"/>
          </w:tcPr>
          <w:p>
            <w:pPr>
              <w:spacing w:line="360" w:lineRule="exact"/>
              <w:jc w:val="center"/>
              <w:rPr>
                <w:rFonts w:hint="eastAsia" w:ascii="仿宋" w:hAnsi="仿宋" w:eastAsia="仿宋" w:cs="仿宋"/>
                <w:color w:val="auto"/>
                <w:sz w:val="24"/>
                <w:szCs w:val="20"/>
                <w:highlight w:val="none"/>
                <w:lang w:val="en-US" w:eastAsia="zh-CN"/>
              </w:rPr>
            </w:pPr>
            <w:r>
              <w:rPr>
                <w:rFonts w:hint="eastAsia" w:ascii="仿宋" w:hAnsi="仿宋" w:eastAsia="仿宋" w:cs="仿宋"/>
                <w:color w:val="auto"/>
                <w:sz w:val="24"/>
                <w:szCs w:val="20"/>
                <w:highlight w:val="none"/>
                <w:lang w:val="en-US" w:eastAsia="zh-CN"/>
              </w:rPr>
              <w:t>18</w:t>
            </w:r>
          </w:p>
        </w:tc>
        <w:tc>
          <w:tcPr>
            <w:tcW w:w="1945" w:type="dxa"/>
            <w:noWrap w:val="0"/>
            <w:vAlign w:val="center"/>
          </w:tcPr>
          <w:p>
            <w:pPr>
              <w:spacing w:line="360" w:lineRule="exact"/>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业绩</w:t>
            </w:r>
          </w:p>
        </w:tc>
        <w:tc>
          <w:tcPr>
            <w:tcW w:w="6888" w:type="dxa"/>
            <w:noWrap w:val="0"/>
            <w:vAlign w:val="center"/>
          </w:tcPr>
          <w:p>
            <w:pPr>
              <w:pStyle w:val="8"/>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本项目将对中标供应商经评标委员会评审认可的投标业绩（含合同名称、签订时间等）进行公示。如有虚假，将取消中标资格并上报芜湖市公共资源交易管理局按有关规定处理。【除非本招标文件另有规定，业绩系指符合本招标文件规定的与最终用户(“最终用户”系指合同项目的建设方或由建设方确定的承包方)签订的合同及招标文件要求的相关证明。投标供应商与其关联公司（如母公司、控股公司、参股公司、分公司、子公司、同一法定代表人的公司等）之间签订的合同，均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652" w:type="dxa"/>
            <w:gridSpan w:val="2"/>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c>
          <w:tcPr>
            <w:tcW w:w="6888" w:type="dxa"/>
            <w:noWrap w:val="0"/>
            <w:vAlign w:val="center"/>
          </w:tcPr>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1.当招标文件通用部分和该专用部分不一致时，以此专用部分为准。</w:t>
            </w:r>
          </w:p>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.说明：</w:t>
            </w:r>
            <w:r>
              <w:rPr>
                <w:rFonts w:hint="eastAsia" w:ascii="仿宋" w:hAnsi="仿宋" w:eastAsia="仿宋" w:cs="仿宋"/>
                <w:color w:val="auto"/>
                <w:sz w:val="24"/>
                <w:szCs w:val="24"/>
                <w:highlight w:val="none"/>
              </w:rPr>
              <w:sym w:font="Wingdings" w:char="00FE"/>
            </w:r>
            <w:r>
              <w:rPr>
                <w:rFonts w:hint="eastAsia" w:ascii="仿宋" w:hAnsi="仿宋" w:eastAsia="仿宋" w:cs="仿宋"/>
                <w:color w:val="auto"/>
                <w:sz w:val="24"/>
                <w:szCs w:val="24"/>
                <w:highlight w:val="none"/>
              </w:rPr>
              <w:t>表示采用条款，</w:t>
            </w:r>
            <w:r>
              <w:rPr>
                <w:rFonts w:hint="eastAsia" w:ascii="仿宋" w:hAnsi="仿宋" w:eastAsia="仿宋" w:cs="仿宋"/>
                <w:color w:val="auto"/>
                <w:sz w:val="24"/>
                <w:szCs w:val="24"/>
                <w:highlight w:val="none"/>
              </w:rPr>
              <w:sym w:font="Wingdings" w:char="00A8"/>
            </w:r>
            <w:r>
              <w:rPr>
                <w:rFonts w:hint="eastAsia" w:ascii="仿宋" w:hAnsi="仿宋" w:eastAsia="仿宋" w:cs="仿宋"/>
                <w:color w:val="auto"/>
                <w:sz w:val="24"/>
                <w:szCs w:val="24"/>
                <w:highlight w:val="none"/>
              </w:rPr>
              <w:t>表示不采用条款。</w:t>
            </w:r>
          </w:p>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.诚信投标温馨提示：参加本次采购活动的供应商在投标文件中提供的所有资料均应真实，如有虚假，将被取消中标资格并承担不利法律后果。</w:t>
            </w:r>
          </w:p>
        </w:tc>
      </w:tr>
    </w:tbl>
    <w:p>
      <w:pPr>
        <w:rPr>
          <w:rFonts w:hint="eastAsia" w:ascii="仿宋" w:hAnsi="仿宋" w:eastAsia="仿宋" w:cs="仿宋"/>
          <w:color w:val="auto"/>
          <w:highlight w:val="none"/>
        </w:rPr>
      </w:pP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5" w:type="dxa"/>
            <w:noWrap w:val="0"/>
            <w:vAlign w:val="top"/>
          </w:tcPr>
          <w:p>
            <w:pPr>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lang w:val="en-US" w:eastAsia="zh-CN"/>
              </w:rPr>
              <w:t>一</w:t>
            </w:r>
            <w:r>
              <w:rPr>
                <w:rFonts w:hint="eastAsia" w:ascii="仿宋" w:hAnsi="仿宋" w:eastAsia="仿宋" w:cs="仿宋"/>
                <w:b/>
                <w:bCs/>
                <w:color w:val="auto"/>
                <w:szCs w:val="21"/>
                <w:highlight w:val="none"/>
              </w:rPr>
              <w:t>、获取招标文件</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投标人在获取招标文件期内</w:t>
            </w:r>
            <w:r>
              <w:rPr>
                <w:rFonts w:hint="eastAsia" w:ascii="仿宋" w:hAnsi="仿宋" w:eastAsia="仿宋" w:cs="仿宋"/>
                <w:color w:val="auto"/>
                <w:szCs w:val="21"/>
                <w:highlight w:val="none"/>
                <w:lang w:val="en-US" w:eastAsia="zh-CN"/>
              </w:rPr>
              <w:t>在安徽苏柏亚工程项目管理有限公司官网</w:t>
            </w:r>
            <w:r>
              <w:rPr>
                <w:rFonts w:hint="eastAsia" w:ascii="仿宋" w:hAnsi="仿宋" w:eastAsia="仿宋" w:cs="仿宋"/>
                <w:color w:val="auto"/>
                <w:szCs w:val="21"/>
                <w:highlight w:val="none"/>
              </w:rPr>
              <w:t>下载招标文件和其他相关资料。</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如有补疑、答疑、澄清和修改，招标人在网上澄清公告栏发布相关内容，投标人应及时上网查阅，通过</w:t>
            </w:r>
            <w:r>
              <w:rPr>
                <w:rFonts w:hint="eastAsia" w:ascii="仿宋" w:hAnsi="仿宋" w:eastAsia="仿宋" w:cs="仿宋"/>
                <w:color w:val="auto"/>
                <w:szCs w:val="21"/>
                <w:highlight w:val="none"/>
                <w:lang w:val="en-US" w:eastAsia="zh-CN"/>
              </w:rPr>
              <w:t>网站</w:t>
            </w:r>
            <w:r>
              <w:rPr>
                <w:rFonts w:hint="eastAsia" w:ascii="仿宋" w:hAnsi="仿宋" w:eastAsia="仿宋" w:cs="仿宋"/>
                <w:color w:val="auto"/>
                <w:szCs w:val="21"/>
                <w:highlight w:val="none"/>
              </w:rPr>
              <w:t>下载最新的答疑文件，据此制作投标文件。</w:t>
            </w:r>
          </w:p>
          <w:p>
            <w:pPr>
              <w:rPr>
                <w:rFonts w:hint="eastAsia" w:ascii="仿宋" w:hAnsi="仿宋" w:eastAsia="仿宋" w:cs="仿宋"/>
                <w:b/>
                <w:color w:val="auto"/>
                <w:szCs w:val="21"/>
                <w:highlight w:val="none"/>
              </w:rPr>
            </w:pPr>
            <w:r>
              <w:rPr>
                <w:rFonts w:hint="eastAsia" w:ascii="仿宋" w:hAnsi="仿宋" w:eastAsia="仿宋" w:cs="仿宋"/>
                <w:b/>
                <w:color w:val="auto"/>
                <w:szCs w:val="21"/>
                <w:highlight w:val="none"/>
                <w:lang w:val="en-US" w:eastAsia="zh-CN"/>
              </w:rPr>
              <w:t>二</w:t>
            </w:r>
            <w:r>
              <w:rPr>
                <w:rFonts w:hint="eastAsia" w:ascii="仿宋" w:hAnsi="仿宋" w:eastAsia="仿宋" w:cs="仿宋"/>
                <w:b/>
                <w:color w:val="auto"/>
                <w:szCs w:val="21"/>
                <w:highlight w:val="none"/>
              </w:rPr>
              <w:t>、投标</w:t>
            </w:r>
          </w:p>
          <w:p>
            <w:pPr>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rPr>
              <w:t>（一）投标截止时间前</w:t>
            </w:r>
            <w:r>
              <w:rPr>
                <w:rFonts w:hint="eastAsia" w:ascii="仿宋" w:hAnsi="仿宋" w:eastAsia="仿宋" w:cs="仿宋"/>
                <w:color w:val="auto"/>
                <w:szCs w:val="21"/>
                <w:highlight w:val="none"/>
                <w:lang w:val="en-US" w:eastAsia="zh-CN"/>
              </w:rPr>
              <w:t>递交纸质版投标文件，</w:t>
            </w:r>
            <w:r>
              <w:rPr>
                <w:rFonts w:hint="eastAsia" w:ascii="仿宋" w:hAnsi="仿宋" w:eastAsia="仿宋" w:cs="仿宋"/>
                <w:color w:val="auto"/>
                <w:szCs w:val="21"/>
                <w:highlight w:val="none"/>
              </w:rPr>
              <w:t>未在投标截止时间前</w:t>
            </w:r>
            <w:r>
              <w:rPr>
                <w:rFonts w:hint="eastAsia" w:ascii="仿宋" w:hAnsi="仿宋" w:eastAsia="仿宋" w:cs="仿宋"/>
                <w:color w:val="auto"/>
                <w:szCs w:val="21"/>
                <w:highlight w:val="none"/>
                <w:lang w:val="en-US" w:eastAsia="zh-CN"/>
              </w:rPr>
              <w:t>递交</w:t>
            </w:r>
            <w:r>
              <w:rPr>
                <w:rFonts w:hint="eastAsia" w:ascii="仿宋" w:hAnsi="仿宋" w:eastAsia="仿宋" w:cs="仿宋"/>
                <w:color w:val="auto"/>
                <w:szCs w:val="21"/>
                <w:highlight w:val="none"/>
              </w:rPr>
              <w:t>的投标文件视为逾期送达。</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lang w:val="en-US" w:eastAsia="zh-CN"/>
              </w:rPr>
              <w:t>二</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rPr>
              <w:t>电子投标文件的提交是指投标人使用</w:t>
            </w:r>
            <w:r>
              <w:rPr>
                <w:rFonts w:hint="eastAsia" w:ascii="仿宋" w:hAnsi="仿宋" w:eastAsia="仿宋" w:cs="仿宋"/>
                <w:color w:val="auto"/>
                <w:szCs w:val="21"/>
                <w:highlight w:val="none"/>
                <w:lang w:val="en-US" w:eastAsia="zh-CN"/>
              </w:rPr>
              <w:t>邮箱</w:t>
            </w:r>
            <w:r>
              <w:rPr>
                <w:rFonts w:hint="eastAsia" w:ascii="仿宋" w:hAnsi="仿宋" w:eastAsia="仿宋" w:cs="仿宋"/>
                <w:color w:val="auto"/>
                <w:szCs w:val="21"/>
                <w:highlight w:val="none"/>
              </w:rPr>
              <w:t>完成上传投标文件，未在投标截止时间前完成上传的投标文件视为逾期送达。</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三</w:t>
            </w:r>
            <w:r>
              <w:rPr>
                <w:rFonts w:hint="eastAsia" w:ascii="仿宋" w:hAnsi="仿宋" w:eastAsia="仿宋" w:cs="仿宋"/>
                <w:color w:val="auto"/>
                <w:szCs w:val="21"/>
                <w:highlight w:val="none"/>
              </w:rPr>
              <w:t>）投标截止时间前，投标人可以修改或撤回已提交的投标文件，</w:t>
            </w:r>
            <w:r>
              <w:rPr>
                <w:rFonts w:hint="eastAsia" w:ascii="仿宋" w:hAnsi="仿宋" w:eastAsia="仿宋" w:cs="仿宋"/>
                <w:color w:val="auto"/>
                <w:szCs w:val="21"/>
                <w:highlight w:val="none"/>
                <w:lang w:val="en-US" w:eastAsia="zh-CN"/>
              </w:rPr>
              <w:t>电子</w:t>
            </w:r>
            <w:r>
              <w:rPr>
                <w:rFonts w:hint="eastAsia" w:ascii="仿宋" w:hAnsi="仿宋" w:eastAsia="仿宋" w:cs="仿宋"/>
                <w:color w:val="auto"/>
                <w:szCs w:val="21"/>
                <w:highlight w:val="none"/>
              </w:rPr>
              <w:t>投标文件以投标截止时间前完成上传至系统的最后一份为准。</w:t>
            </w:r>
          </w:p>
          <w:p>
            <w:pPr>
              <w:rPr>
                <w:rFonts w:hint="eastAsia" w:ascii="仿宋" w:hAnsi="仿宋" w:eastAsia="仿宋" w:cs="仿宋"/>
                <w:b/>
                <w:color w:val="auto"/>
                <w:szCs w:val="21"/>
                <w:highlight w:val="none"/>
              </w:rPr>
            </w:pPr>
            <w:r>
              <w:rPr>
                <w:rFonts w:hint="eastAsia" w:ascii="仿宋" w:hAnsi="仿宋" w:eastAsia="仿宋" w:cs="仿宋"/>
                <w:b/>
                <w:color w:val="auto"/>
                <w:szCs w:val="21"/>
                <w:highlight w:val="none"/>
                <w:lang w:val="en-US" w:eastAsia="zh-CN"/>
              </w:rPr>
              <w:t>三</w:t>
            </w:r>
            <w:r>
              <w:rPr>
                <w:rFonts w:hint="eastAsia" w:ascii="仿宋" w:hAnsi="仿宋" w:eastAsia="仿宋" w:cs="仿宋"/>
                <w:b/>
                <w:color w:val="auto"/>
                <w:szCs w:val="21"/>
                <w:highlight w:val="none"/>
              </w:rPr>
              <w:t>、开标</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（一）开标时间、地点和人员。招标人在规定的投标截止时间（开标时间）和地点公开开标，邀请所有投标人的法定代表人或其委托代理人准时参加。若投标人未参加现场开标</w:t>
            </w:r>
            <w:r>
              <w:rPr>
                <w:rFonts w:hint="eastAsia" w:ascii="仿宋" w:hAnsi="仿宋" w:eastAsia="仿宋" w:cs="仿宋"/>
                <w:color w:val="auto"/>
                <w:szCs w:val="21"/>
                <w:highlight w:val="none"/>
                <w:lang w:val="en-US" w:eastAsia="zh-CN"/>
              </w:rPr>
              <w:t>或视频开标</w:t>
            </w:r>
            <w:r>
              <w:rPr>
                <w:rFonts w:hint="eastAsia" w:ascii="仿宋" w:hAnsi="仿宋" w:eastAsia="仿宋" w:cs="仿宋"/>
                <w:color w:val="auto"/>
                <w:szCs w:val="21"/>
                <w:highlight w:val="none"/>
              </w:rPr>
              <w:t>的，视同认可开标结果。</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（二）开标程序</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1.宣布开标纪律；</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2.宣布开标人、招标人等有关人员姓名； </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3.公布投标人名称并检查投标文件的</w:t>
            </w:r>
            <w:r>
              <w:rPr>
                <w:rFonts w:hint="eastAsia" w:ascii="仿宋" w:hAnsi="仿宋" w:eastAsia="仿宋" w:cs="仿宋"/>
                <w:color w:val="auto"/>
                <w:szCs w:val="21"/>
                <w:highlight w:val="none"/>
                <w:lang w:val="en-US" w:eastAsia="zh-CN"/>
              </w:rPr>
              <w:t>密封性</w:t>
            </w:r>
            <w:r>
              <w:rPr>
                <w:rFonts w:hint="eastAsia" w:ascii="仿宋" w:hAnsi="仿宋" w:eastAsia="仿宋" w:cs="仿宋"/>
                <w:color w:val="auto"/>
                <w:szCs w:val="21"/>
                <w:highlight w:val="none"/>
              </w:rPr>
              <w:t>；</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4</w:t>
            </w:r>
            <w:r>
              <w:rPr>
                <w:rFonts w:hint="eastAsia" w:ascii="仿宋" w:hAnsi="仿宋" w:eastAsia="仿宋" w:cs="仿宋"/>
                <w:color w:val="auto"/>
                <w:szCs w:val="21"/>
                <w:highlight w:val="none"/>
              </w:rPr>
              <w:t>.对投标截止时间前递交的投标文件</w:t>
            </w:r>
            <w:r>
              <w:rPr>
                <w:rFonts w:hint="eastAsia" w:ascii="仿宋" w:hAnsi="仿宋" w:eastAsia="仿宋" w:cs="仿宋"/>
                <w:color w:val="auto"/>
                <w:szCs w:val="21"/>
                <w:highlight w:val="none"/>
                <w:lang w:val="en-US" w:eastAsia="zh-CN"/>
              </w:rPr>
              <w:t>拆封</w:t>
            </w:r>
            <w:r>
              <w:rPr>
                <w:rFonts w:hint="eastAsia" w:ascii="仿宋" w:hAnsi="仿宋" w:eastAsia="仿宋" w:cs="仿宋"/>
                <w:color w:val="auto"/>
                <w:szCs w:val="21"/>
                <w:highlight w:val="none"/>
              </w:rPr>
              <w:t>，当众开标；</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6.当众唱标；</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7.开标结束。</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（三）开标时出现下列情形之一的，拒绝其投标。</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1.未在投标截止时间前通过</w:t>
            </w:r>
            <w:r>
              <w:rPr>
                <w:rFonts w:hint="eastAsia" w:ascii="仿宋" w:hAnsi="仿宋" w:eastAsia="仿宋" w:cs="仿宋"/>
                <w:color w:val="auto"/>
                <w:szCs w:val="21"/>
                <w:highlight w:val="none"/>
                <w:lang w:val="en-US" w:eastAsia="zh-CN"/>
              </w:rPr>
              <w:t>邮箱</w:t>
            </w:r>
            <w:r>
              <w:rPr>
                <w:rFonts w:hint="eastAsia" w:ascii="仿宋" w:hAnsi="仿宋" w:eastAsia="仿宋" w:cs="仿宋"/>
                <w:color w:val="auto"/>
                <w:szCs w:val="21"/>
                <w:highlight w:val="none"/>
              </w:rPr>
              <w:t>提交电子投标文件的。</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2</w:t>
            </w:r>
            <w:r>
              <w:rPr>
                <w:rFonts w:hint="eastAsia" w:ascii="仿宋" w:hAnsi="仿宋" w:eastAsia="仿宋" w:cs="仿宋"/>
                <w:color w:val="auto"/>
                <w:szCs w:val="21"/>
                <w:highlight w:val="none"/>
              </w:rPr>
              <w:t>.不符合招标文件其他要求或对开标活动造成严重后果的。</w:t>
            </w:r>
          </w:p>
          <w:p>
            <w:pPr>
              <w:rPr>
                <w:rFonts w:hint="eastAsia" w:ascii="仿宋" w:hAnsi="仿宋" w:eastAsia="仿宋" w:cs="仿宋"/>
                <w:b/>
                <w:color w:val="auto"/>
                <w:szCs w:val="21"/>
                <w:highlight w:val="none"/>
              </w:rPr>
            </w:pPr>
            <w:r>
              <w:rPr>
                <w:rFonts w:hint="eastAsia" w:ascii="仿宋" w:hAnsi="仿宋" w:eastAsia="仿宋" w:cs="仿宋"/>
                <w:b/>
                <w:color w:val="auto"/>
                <w:szCs w:val="21"/>
                <w:highlight w:val="none"/>
                <w:lang w:val="en-US" w:eastAsia="zh-CN"/>
              </w:rPr>
              <w:t>四</w:t>
            </w:r>
            <w:r>
              <w:rPr>
                <w:rFonts w:hint="eastAsia" w:ascii="仿宋" w:hAnsi="仿宋" w:eastAsia="仿宋" w:cs="仿宋"/>
                <w:b/>
                <w:color w:val="auto"/>
                <w:szCs w:val="21"/>
                <w:highlight w:val="none"/>
              </w:rPr>
              <w:t>、评标</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（一）招标代理机构根据有关规定组织评标工作，依法组建的评标委员会按招标文件规定的评标办法进行评标，并对评标报告签字确认。</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（二）投标人在评标期间应保持联系畅通，接受评标委员会可能发出的质询，在规定时间内澄清。未能按时澄清的，评标委员会将视同其放弃澄清。</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三</w:t>
            </w:r>
            <w:r>
              <w:rPr>
                <w:rFonts w:hint="eastAsia" w:ascii="仿宋" w:hAnsi="仿宋" w:eastAsia="仿宋" w:cs="仿宋"/>
                <w:color w:val="auto"/>
                <w:szCs w:val="21"/>
                <w:highlight w:val="none"/>
              </w:rPr>
              <w:t>）项目评审中，投标文件出现下列情形之一的，评标委员会应终止对投标文件做后续评审：</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1、</w:t>
            </w:r>
            <w:r>
              <w:rPr>
                <w:rFonts w:hint="eastAsia" w:ascii="仿宋" w:hAnsi="仿宋" w:eastAsia="仿宋" w:cs="仿宋"/>
                <w:color w:val="auto"/>
                <w:szCs w:val="21"/>
                <w:highlight w:val="none"/>
              </w:rPr>
              <w:t xml:space="preserve">投标文件不完整的； </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2、</w:t>
            </w:r>
            <w:r>
              <w:rPr>
                <w:rFonts w:hint="eastAsia" w:ascii="仿宋" w:hAnsi="仿宋" w:eastAsia="仿宋" w:cs="仿宋"/>
                <w:color w:val="auto"/>
                <w:szCs w:val="21"/>
                <w:highlight w:val="none"/>
              </w:rPr>
              <w:t xml:space="preserve">不同投标人的投标文件异常一致或者投标报价呈规律性差异； </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3、</w:t>
            </w:r>
            <w:r>
              <w:rPr>
                <w:rFonts w:hint="eastAsia" w:ascii="仿宋" w:hAnsi="仿宋" w:eastAsia="仿宋" w:cs="仿宋"/>
                <w:color w:val="auto"/>
                <w:szCs w:val="21"/>
                <w:highlight w:val="none"/>
              </w:rPr>
              <w:t xml:space="preserve">招标文件规定或评标委员会认定的其他投标无效或否决投标情形； </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4、</w:t>
            </w:r>
            <w:r>
              <w:rPr>
                <w:rFonts w:hint="eastAsia" w:ascii="仿宋" w:hAnsi="仿宋" w:eastAsia="仿宋" w:cs="仿宋"/>
                <w:color w:val="auto"/>
                <w:szCs w:val="21"/>
                <w:highlight w:val="none"/>
              </w:rPr>
              <w:t xml:space="preserve">相关法律、法规、规章等规定的其他投标无效或否决投标、废标情形。 </w:t>
            </w:r>
          </w:p>
          <w:p>
            <w:pPr>
              <w:rPr>
                <w:rFonts w:hint="eastAsia" w:ascii="仿宋" w:hAnsi="仿宋" w:eastAsia="仿宋" w:cs="仿宋"/>
                <w:b/>
                <w:color w:val="auto"/>
                <w:szCs w:val="21"/>
                <w:highlight w:val="none"/>
              </w:rPr>
            </w:pPr>
            <w:r>
              <w:rPr>
                <w:rFonts w:hint="eastAsia" w:ascii="仿宋" w:hAnsi="仿宋" w:eastAsia="仿宋" w:cs="仿宋"/>
                <w:b/>
                <w:color w:val="auto"/>
                <w:szCs w:val="21"/>
                <w:highlight w:val="none"/>
                <w:lang w:val="en-US" w:eastAsia="zh-CN"/>
              </w:rPr>
              <w:t>五</w:t>
            </w:r>
            <w:r>
              <w:rPr>
                <w:rFonts w:hint="eastAsia" w:ascii="仿宋" w:hAnsi="仿宋" w:eastAsia="仿宋" w:cs="仿宋"/>
                <w:b/>
                <w:color w:val="auto"/>
                <w:szCs w:val="21"/>
                <w:highlight w:val="none"/>
              </w:rPr>
              <w:t>、意外情况的处理</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出现下列情形导致招标采购系统无法正常运行，或者无法保证招标采购过程的公平、公正和信息安全时，除因投标人的责任外，其余各方当事人免责：</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1、</w:t>
            </w:r>
            <w:r>
              <w:rPr>
                <w:rFonts w:hint="eastAsia" w:ascii="仿宋" w:hAnsi="仿宋" w:eastAsia="仿宋" w:cs="仿宋"/>
                <w:color w:val="auto"/>
                <w:szCs w:val="21"/>
                <w:highlight w:val="none"/>
              </w:rPr>
              <w:t>网络服务器发生故障而无法访问</w:t>
            </w:r>
            <w:r>
              <w:rPr>
                <w:rFonts w:hint="eastAsia" w:ascii="仿宋" w:hAnsi="仿宋" w:eastAsia="仿宋" w:cs="仿宋"/>
                <w:color w:val="auto"/>
                <w:szCs w:val="21"/>
                <w:highlight w:val="none"/>
                <w:lang w:val="en-US" w:eastAsia="zh-CN"/>
              </w:rPr>
              <w:t>邮箱的</w:t>
            </w:r>
            <w:r>
              <w:rPr>
                <w:rFonts w:hint="eastAsia" w:ascii="仿宋" w:hAnsi="仿宋" w:eastAsia="仿宋" w:cs="仿宋"/>
                <w:color w:val="auto"/>
                <w:szCs w:val="21"/>
                <w:highlight w:val="none"/>
              </w:rPr>
              <w:t xml:space="preserve">； </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2、</w:t>
            </w:r>
            <w:r>
              <w:rPr>
                <w:rFonts w:hint="eastAsia" w:ascii="仿宋" w:hAnsi="仿宋" w:eastAsia="仿宋" w:cs="仿宋"/>
                <w:color w:val="auto"/>
                <w:szCs w:val="21"/>
                <w:highlight w:val="none"/>
              </w:rPr>
              <w:t>电力系统发生故障导致</w:t>
            </w:r>
            <w:r>
              <w:rPr>
                <w:rFonts w:hint="eastAsia" w:ascii="仿宋" w:hAnsi="仿宋" w:eastAsia="仿宋" w:cs="仿宋"/>
                <w:color w:val="auto"/>
                <w:szCs w:val="21"/>
                <w:highlight w:val="none"/>
                <w:lang w:val="en-US" w:eastAsia="zh-CN"/>
              </w:rPr>
              <w:t>网络</w:t>
            </w:r>
            <w:r>
              <w:rPr>
                <w:rFonts w:hint="eastAsia" w:ascii="仿宋" w:hAnsi="仿宋" w:eastAsia="仿宋" w:cs="仿宋"/>
                <w:color w:val="auto"/>
                <w:szCs w:val="21"/>
                <w:highlight w:val="none"/>
              </w:rPr>
              <w:t>无法</w:t>
            </w:r>
            <w:r>
              <w:rPr>
                <w:rFonts w:hint="eastAsia" w:ascii="仿宋" w:hAnsi="仿宋" w:eastAsia="仿宋" w:cs="仿宋"/>
                <w:color w:val="auto"/>
                <w:szCs w:val="21"/>
                <w:highlight w:val="none"/>
                <w:lang w:val="en-US" w:eastAsia="zh-CN"/>
              </w:rPr>
              <w:t>正常</w:t>
            </w:r>
            <w:r>
              <w:rPr>
                <w:rFonts w:hint="eastAsia" w:ascii="仿宋" w:hAnsi="仿宋" w:eastAsia="仿宋" w:cs="仿宋"/>
                <w:color w:val="auto"/>
                <w:szCs w:val="21"/>
                <w:highlight w:val="none"/>
              </w:rPr>
              <w:t xml:space="preserve">运行； </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3、</w:t>
            </w:r>
            <w:r>
              <w:rPr>
                <w:rFonts w:hint="eastAsia" w:ascii="仿宋" w:hAnsi="仿宋" w:eastAsia="仿宋" w:cs="仿宋"/>
                <w:color w:val="auto"/>
                <w:szCs w:val="21"/>
                <w:highlight w:val="none"/>
              </w:rPr>
              <w:t xml:space="preserve">其他无法保证招标采购过程公平、公正和信息安全的。 </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出现上述情形</w:t>
            </w:r>
            <w:r>
              <w:rPr>
                <w:rFonts w:hint="eastAsia" w:ascii="仿宋" w:hAnsi="仿宋" w:eastAsia="仿宋" w:cs="仿宋"/>
                <w:color w:val="auto"/>
                <w:szCs w:val="21"/>
                <w:highlight w:val="none"/>
                <w:lang w:val="en-US" w:eastAsia="zh-CN"/>
              </w:rPr>
              <w:t>之一而又不能及时解决的，代理机构及时向招标人报告，经同意后采取以下处理办法：</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1</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rPr>
              <w:t>项目程序中止，待电系统或网络故障排除</w:t>
            </w:r>
            <w:r>
              <w:rPr>
                <w:rFonts w:hint="eastAsia" w:ascii="仿宋" w:hAnsi="仿宋" w:eastAsia="仿宋" w:cs="仿宋"/>
                <w:color w:val="auto"/>
                <w:szCs w:val="21"/>
                <w:highlight w:val="none"/>
                <w:lang w:val="en-US" w:eastAsia="zh-CN"/>
              </w:rPr>
              <w:t>后</w:t>
            </w:r>
            <w:r>
              <w:rPr>
                <w:rFonts w:hint="eastAsia" w:ascii="仿宋" w:hAnsi="仿宋" w:eastAsia="仿宋" w:cs="仿宋"/>
                <w:color w:val="auto"/>
                <w:szCs w:val="21"/>
                <w:highlight w:val="none"/>
              </w:rPr>
              <w:t>，项目程序继续进行。</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2</w:t>
            </w:r>
            <w:r>
              <w:rPr>
                <w:rFonts w:hint="eastAsia" w:ascii="仿宋" w:hAnsi="仿宋" w:eastAsia="仿宋" w:cs="仿宋"/>
                <w:color w:val="auto"/>
                <w:szCs w:val="21"/>
                <w:highlight w:val="none"/>
                <w:lang w:eastAsia="zh-CN"/>
              </w:rPr>
              <w:t>、终止项目，并通知投标人</w:t>
            </w:r>
            <w:r>
              <w:rPr>
                <w:rFonts w:hint="eastAsia" w:ascii="仿宋" w:hAnsi="仿宋" w:eastAsia="仿宋" w:cs="仿宋"/>
                <w:color w:val="auto"/>
                <w:szCs w:val="21"/>
                <w:highlight w:val="none"/>
              </w:rPr>
              <w:t>。</w:t>
            </w:r>
          </w:p>
          <w:p>
            <w:pPr>
              <w:rPr>
                <w:rFonts w:hint="eastAsia" w:ascii="仿宋" w:hAnsi="仿宋" w:eastAsia="仿宋" w:cs="仿宋"/>
                <w:color w:val="auto"/>
                <w:highlight w:val="none"/>
              </w:rPr>
            </w:pPr>
            <w:r>
              <w:rPr>
                <w:rFonts w:hint="eastAsia" w:ascii="仿宋" w:hAnsi="仿宋" w:eastAsia="仿宋" w:cs="仿宋"/>
                <w:b/>
                <w:color w:val="auto"/>
                <w:szCs w:val="21"/>
                <w:highlight w:val="none"/>
                <w:lang w:val="en-US" w:eastAsia="zh-CN"/>
              </w:rPr>
              <w:t>六、</w:t>
            </w:r>
            <w:r>
              <w:rPr>
                <w:rFonts w:hint="eastAsia" w:ascii="仿宋" w:hAnsi="仿宋" w:eastAsia="仿宋" w:cs="仿宋"/>
                <w:color w:val="auto"/>
                <w:szCs w:val="21"/>
                <w:highlight w:val="none"/>
                <w:lang w:val="en-US" w:eastAsia="zh-CN"/>
              </w:rPr>
              <w:t>因投标人计算机系统遭遇网络堵塞、病毒入侵等不能正常上传投标文件、提交的投标文件本身含有计算机病毒或非完整文件等无法参与开标等招标采购活动的，后果由投标人承担。</w:t>
            </w:r>
          </w:p>
        </w:tc>
      </w:tr>
    </w:tbl>
    <w:p>
      <w:pPr>
        <w:rPr>
          <w:rFonts w:hint="eastAsia" w:ascii="仿宋" w:hAnsi="仿宋" w:eastAsia="仿宋" w:cs="仿宋"/>
          <w:color w:val="auto"/>
          <w:highlight w:val="none"/>
        </w:rPr>
      </w:pPr>
    </w:p>
    <w:p>
      <w:pPr>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4"/>
        <w:spacing w:line="500" w:lineRule="exact"/>
        <w:jc w:val="center"/>
        <w:rPr>
          <w:rFonts w:hint="eastAsia" w:ascii="仿宋" w:hAnsi="仿宋" w:eastAsia="仿宋" w:cs="仿宋"/>
          <w:color w:val="auto"/>
          <w:highlight w:val="none"/>
        </w:rPr>
      </w:pPr>
      <w:r>
        <w:rPr>
          <w:rFonts w:hint="eastAsia" w:ascii="仿宋" w:hAnsi="仿宋" w:eastAsia="仿宋" w:cs="仿宋"/>
          <w:color w:val="auto"/>
          <w:highlight w:val="none"/>
        </w:rPr>
        <w:t>第三章  合同条款前附表</w:t>
      </w: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合同条款前附表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序号</w:t>
            </w:r>
          </w:p>
        </w:tc>
        <w:tc>
          <w:tcPr>
            <w:tcW w:w="72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条款内容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72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rPr>
              <w:t>履约地点为：</w:t>
            </w:r>
            <w:r>
              <w:rPr>
                <w:rFonts w:hint="eastAsia" w:ascii="仿宋" w:hAnsi="仿宋" w:eastAsia="仿宋" w:cs="仿宋"/>
                <w:color w:val="auto"/>
                <w:szCs w:val="21"/>
                <w:highlight w:val="none"/>
                <w:lang w:val="en-US" w:eastAsia="zh-CN"/>
              </w:rPr>
              <w:t>芜湖市</w:t>
            </w:r>
          </w:p>
          <w:p>
            <w:pPr>
              <w:spacing w:line="360" w:lineRule="exact"/>
              <w:rPr>
                <w:rFonts w:hint="eastAsia" w:ascii="仿宋" w:hAnsi="仿宋" w:eastAsia="仿宋" w:cs="仿宋"/>
                <w:color w:val="auto"/>
                <w:szCs w:val="21"/>
                <w:highlight w:val="none"/>
              </w:rPr>
            </w:pPr>
            <w:r>
              <w:rPr>
                <w:rFonts w:hint="eastAsia" w:ascii="仿宋" w:hAnsi="仿宋" w:eastAsia="仿宋" w:cs="仿宋"/>
                <w:color w:val="auto"/>
                <w:szCs w:val="21"/>
                <w:highlight w:val="none"/>
              </w:rPr>
              <w:t>（注：由采购人指定本项目履约地点）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2</w:t>
            </w:r>
          </w:p>
        </w:tc>
        <w:tc>
          <w:tcPr>
            <w:tcW w:w="72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rPr>
              <w:t>付款应按下列条件进行：</w:t>
            </w:r>
            <w:r>
              <w:rPr>
                <w:rFonts w:hint="eastAsia" w:ascii="仿宋" w:hAnsi="仿宋" w:eastAsia="仿宋" w:cs="仿宋"/>
                <w:color w:val="auto"/>
                <w:szCs w:val="21"/>
                <w:highlight w:val="none"/>
                <w:lang w:val="en-US" w:eastAsia="zh-CN"/>
              </w:rPr>
              <w:t>合同中商定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3</w:t>
            </w:r>
          </w:p>
        </w:tc>
        <w:tc>
          <w:tcPr>
            <w:tcW w:w="72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 w:hAnsi="仿宋" w:eastAsia="仿宋" w:cs="仿宋"/>
                <w:color w:val="auto"/>
                <w:szCs w:val="21"/>
                <w:highlight w:val="none"/>
              </w:rPr>
            </w:pPr>
            <w:r>
              <w:rPr>
                <w:rFonts w:hint="eastAsia" w:ascii="仿宋" w:hAnsi="仿宋" w:eastAsia="仿宋" w:cs="仿宋"/>
                <w:color w:val="auto"/>
                <w:szCs w:val="21"/>
                <w:highlight w:val="none"/>
              </w:rPr>
              <w:t>索赔方式：在合同中约定。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4</w:t>
            </w:r>
          </w:p>
        </w:tc>
        <w:tc>
          <w:tcPr>
            <w:tcW w:w="72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rPr>
              <w:t>本合同买方为：</w:t>
            </w:r>
            <w:r>
              <w:rPr>
                <w:rFonts w:hint="eastAsia" w:ascii="仿宋" w:hAnsi="仿宋" w:eastAsia="仿宋" w:cs="仿宋"/>
                <w:color w:val="auto"/>
                <w:szCs w:val="21"/>
                <w:highlight w:val="none"/>
                <w:lang w:val="en-US" w:eastAsia="zh-CN"/>
              </w:rPr>
              <w:t>芜湖城市建设集团有限公司</w:t>
            </w:r>
          </w:p>
          <w:p>
            <w:pPr>
              <w:spacing w:line="360" w:lineRule="exact"/>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rPr>
              <w:t>交货时间（供货期）：</w:t>
            </w:r>
            <w:r>
              <w:rPr>
                <w:rFonts w:hint="eastAsia" w:ascii="仿宋" w:hAnsi="仿宋" w:eastAsia="仿宋" w:cs="仿宋"/>
                <w:color w:val="auto"/>
                <w:szCs w:val="21"/>
                <w:highlight w:val="none"/>
                <w:lang w:val="en-US" w:eastAsia="zh-CN"/>
              </w:rPr>
              <w:t>15个日历天</w:t>
            </w:r>
          </w:p>
          <w:p>
            <w:pPr>
              <w:spacing w:line="360" w:lineRule="exact"/>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rPr>
              <w:t>交货地点：</w:t>
            </w:r>
            <w:r>
              <w:rPr>
                <w:rFonts w:hint="eastAsia" w:ascii="仿宋" w:hAnsi="仿宋" w:eastAsia="仿宋" w:cs="仿宋"/>
                <w:color w:val="auto"/>
                <w:szCs w:val="21"/>
                <w:highlight w:val="none"/>
                <w:lang w:val="en-US" w:eastAsia="zh-CN"/>
              </w:rPr>
              <w:t>招标人指定地点</w:t>
            </w:r>
          </w:p>
          <w:p>
            <w:pPr>
              <w:spacing w:line="360" w:lineRule="exact"/>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rPr>
              <w:t>代理机构：</w:t>
            </w:r>
            <w:r>
              <w:rPr>
                <w:rFonts w:hint="eastAsia" w:ascii="仿宋" w:hAnsi="仿宋" w:eastAsia="仿宋" w:cs="仿宋"/>
                <w:color w:val="auto"/>
                <w:szCs w:val="21"/>
                <w:highlight w:val="none"/>
                <w:lang w:val="en-US" w:eastAsia="zh-CN"/>
              </w:rPr>
              <w:t>安徽苏柏亚工程项目管理有限公司</w:t>
            </w:r>
          </w:p>
        </w:tc>
      </w:tr>
    </w:tbl>
    <w:p>
      <w:pPr>
        <w:rPr>
          <w:rFonts w:hint="eastAsia" w:ascii="仿宋" w:hAnsi="仿宋" w:eastAsia="仿宋" w:cs="仿宋"/>
          <w:color w:val="auto"/>
          <w:highlight w:val="none"/>
        </w:rPr>
      </w:pPr>
    </w:p>
    <w:p>
      <w:pPr>
        <w:rPr>
          <w:rFonts w:hint="eastAsia" w:ascii="仿宋" w:hAnsi="仿宋" w:eastAsia="仿宋" w:cs="仿宋"/>
          <w:b/>
          <w:color w:val="auto"/>
          <w:highlight w:val="none"/>
        </w:rPr>
      </w:pPr>
    </w:p>
    <w:p>
      <w:pPr>
        <w:pStyle w:val="4"/>
        <w:spacing w:line="500" w:lineRule="exact"/>
        <w:jc w:val="center"/>
        <w:rPr>
          <w:rFonts w:hint="eastAsia" w:ascii="仿宋" w:hAnsi="仿宋" w:eastAsia="仿宋" w:cs="仿宋"/>
          <w:color w:val="auto"/>
          <w:highlight w:val="none"/>
        </w:rPr>
      </w:pPr>
      <w:r>
        <w:rPr>
          <w:rFonts w:hint="eastAsia" w:ascii="仿宋" w:hAnsi="仿宋" w:eastAsia="仿宋" w:cs="仿宋"/>
          <w:color w:val="auto"/>
          <w:highlight w:val="none"/>
        </w:rPr>
        <w:br w:type="page"/>
      </w:r>
      <w:r>
        <w:rPr>
          <w:rFonts w:hint="eastAsia" w:ascii="仿宋" w:hAnsi="仿宋" w:eastAsia="仿宋" w:cs="仿宋"/>
          <w:color w:val="auto"/>
          <w:highlight w:val="none"/>
        </w:rPr>
        <w:t>第四章  采购需求</w:t>
      </w:r>
    </w:p>
    <w:p>
      <w:pPr>
        <w:pStyle w:val="39"/>
        <w:ind w:firstLine="470" w:firstLineChars="19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p>
      <w:pPr>
        <w:pStyle w:val="39"/>
        <w:ind w:firstLine="470" w:firstLineChars="19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1.以下《采购需求说明》及《采购需求一览表》所列内容为采购人所提采购需求，供应商应认真仔细研究，投标时应慎重选择相应的产品及技术参数、规格型号等进行投标。</w:t>
      </w:r>
    </w:p>
    <w:p>
      <w:pPr>
        <w:pStyle w:val="39"/>
        <w:ind w:firstLine="470" w:firstLineChars="19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招标文件中标有“*”的参数为实质性参数，必须满足并以招标文件明确要求的材料为准,若招标文件未明确要求则以制造商公开发布的资料或检测机构出具的检测报告为准。若制造商公开发布的资料与检测机构出具的检测报告不一致，以检测机构出具的检测报告为准，否则，其投标无效。</w:t>
      </w:r>
    </w:p>
    <w:p>
      <w:pPr>
        <w:pStyle w:val="39"/>
        <w:ind w:firstLine="470" w:firstLineChars="196"/>
        <w:rPr>
          <w:rFonts w:hint="eastAsia" w:ascii="仿宋" w:hAnsi="仿宋" w:eastAsia="仿宋" w:cs="仿宋"/>
          <w:color w:val="auto"/>
          <w:sz w:val="24"/>
          <w:szCs w:val="24"/>
          <w:highlight w:val="yellow"/>
        </w:rPr>
      </w:pPr>
      <w:r>
        <w:rPr>
          <w:rFonts w:hint="eastAsia" w:ascii="仿宋" w:hAnsi="仿宋" w:eastAsia="仿宋" w:cs="仿宋"/>
          <w:color w:val="auto"/>
          <w:sz w:val="24"/>
          <w:szCs w:val="24"/>
          <w:highlight w:val="yellow"/>
        </w:rPr>
        <w:t>3.投标报价包括采购、运输、人工、安装、售后、验收、税费</w:t>
      </w:r>
      <w:r>
        <w:rPr>
          <w:rFonts w:hint="eastAsia" w:ascii="仿宋" w:hAnsi="仿宋" w:eastAsia="仿宋" w:cs="仿宋"/>
          <w:color w:val="auto"/>
          <w:sz w:val="24"/>
          <w:szCs w:val="24"/>
          <w:highlight w:val="yellow"/>
          <w:lang w:eastAsia="zh-CN"/>
        </w:rPr>
        <w:t>（</w:t>
      </w:r>
      <w:r>
        <w:rPr>
          <w:rFonts w:hint="eastAsia" w:ascii="仿宋" w:hAnsi="仿宋" w:eastAsia="仿宋" w:cs="仿宋"/>
          <w:color w:val="auto"/>
          <w:sz w:val="24"/>
          <w:szCs w:val="24"/>
          <w:highlight w:val="yellow"/>
          <w:lang w:val="en-US" w:eastAsia="zh-CN"/>
        </w:rPr>
        <w:t>13%</w:t>
      </w:r>
      <w:r>
        <w:rPr>
          <w:rFonts w:hint="eastAsia" w:ascii="仿宋" w:hAnsi="仿宋" w:eastAsia="仿宋" w:cs="仿宋"/>
          <w:color w:val="auto"/>
          <w:sz w:val="24"/>
          <w:szCs w:val="24"/>
          <w:highlight w:val="yellow"/>
          <w:lang w:eastAsia="zh-CN"/>
        </w:rPr>
        <w:t>）</w:t>
      </w:r>
      <w:r>
        <w:rPr>
          <w:rFonts w:hint="eastAsia" w:ascii="仿宋" w:hAnsi="仿宋" w:eastAsia="仿宋" w:cs="仿宋"/>
          <w:color w:val="auto"/>
          <w:sz w:val="24"/>
          <w:szCs w:val="24"/>
          <w:highlight w:val="yellow"/>
        </w:rPr>
        <w:t>等所有费用。</w:t>
      </w:r>
    </w:p>
    <w:p>
      <w:pPr>
        <w:pStyle w:val="39"/>
        <w:numPr>
          <w:ilvl w:val="-1"/>
          <w:numId w:val="0"/>
        </w:numPr>
        <w:ind w:firstLine="0" w:firstLineChars="0"/>
        <w:rPr>
          <w:rFonts w:hint="eastAsia" w:ascii="仿宋" w:hAnsi="仿宋" w:eastAsia="仿宋" w:cs="仿宋"/>
          <w:color w:val="auto"/>
          <w:sz w:val="24"/>
          <w:szCs w:val="24"/>
          <w:highlight w:val="none"/>
          <w:lang w:val="en-US" w:eastAsia="zh-CN"/>
        </w:rPr>
      </w:pPr>
    </w:p>
    <w:p>
      <w:pPr>
        <w:pStyle w:val="39"/>
        <w:numPr>
          <w:ilvl w:val="-1"/>
          <w:numId w:val="0"/>
        </w:numPr>
        <w:ind w:firstLine="0" w:firstLineChars="0"/>
        <w:rPr>
          <w:rFonts w:hint="eastAsia" w:ascii="仿宋" w:hAnsi="仿宋" w:eastAsia="仿宋" w:cs="仿宋"/>
          <w:color w:val="auto"/>
          <w:sz w:val="24"/>
          <w:szCs w:val="24"/>
          <w:highlight w:val="none"/>
          <w:lang w:val="en-US" w:eastAsia="zh-CN"/>
        </w:rPr>
      </w:pPr>
    </w:p>
    <w:p>
      <w:pPr>
        <w:pStyle w:val="39"/>
        <w:numPr>
          <w:ilvl w:val="-1"/>
          <w:numId w:val="0"/>
        </w:numPr>
        <w:ind w:firstLine="0" w:firstLineChars="0"/>
        <w:rPr>
          <w:rFonts w:hint="eastAsia" w:ascii="仿宋" w:hAnsi="仿宋" w:eastAsia="仿宋" w:cs="仿宋"/>
          <w:color w:val="auto"/>
          <w:sz w:val="24"/>
          <w:szCs w:val="24"/>
          <w:highlight w:val="none"/>
          <w:lang w:val="en-US" w:eastAsia="zh-CN"/>
        </w:rPr>
      </w:pP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采购需求说明</w:t>
      </w:r>
    </w:p>
    <w:p>
      <w:pPr>
        <w:pStyle w:val="17"/>
        <w:tabs>
          <w:tab w:val="left" w:pos="6240"/>
        </w:tabs>
        <w:rPr>
          <w:rFonts w:hint="default" w:eastAsia="宋体"/>
          <w:lang w:val="en-US" w:eastAsia="zh-CN"/>
        </w:rPr>
      </w:pPr>
      <w:r>
        <w:rPr>
          <w:rFonts w:hint="eastAsia" w:ascii="宋体"/>
          <w:b/>
          <w:color w:val="000000"/>
          <w:sz w:val="28"/>
          <w:szCs w:val="28"/>
          <w:highlight w:val="none"/>
          <w:lang w:val="en-US" w:eastAsia="zh-CN"/>
        </w:rPr>
        <w:t>采购参数要求：</w:t>
      </w:r>
    </w:p>
    <w:p>
      <w:pPr>
        <w:pStyle w:val="64"/>
        <w:widowControl/>
        <w:spacing w:line="440" w:lineRule="exact"/>
        <w:jc w:val="left"/>
        <w:rPr>
          <w:rFonts w:hint="eastAsia" w:ascii="宋体" w:hAnsi="宋体" w:eastAsia="宋体" w:cs="宋体"/>
          <w:bCs/>
          <w:color w:val="000000"/>
          <w:sz w:val="21"/>
          <w:szCs w:val="21"/>
          <w:highlight w:val="white"/>
          <w:lang w:val="en-US" w:eastAsia="zh-CN"/>
        </w:rPr>
      </w:pPr>
      <w:r>
        <w:rPr>
          <w:rFonts w:hint="eastAsia" w:ascii="宋体" w:hAnsi="宋体" w:eastAsia="宋体" w:cs="宋体"/>
          <w:bCs/>
          <w:color w:val="000000"/>
          <w:sz w:val="21"/>
          <w:szCs w:val="21"/>
          <w:highlight w:val="white"/>
          <w:lang w:val="en-US" w:eastAsia="zh-CN"/>
        </w:rPr>
        <w:t>整车参数要求：</w:t>
      </w:r>
    </w:p>
    <w:p>
      <w:pPr>
        <w:pStyle w:val="64"/>
        <w:widowControl/>
        <w:spacing w:line="440" w:lineRule="exact"/>
        <w:jc w:val="left"/>
        <w:rPr>
          <w:rFonts w:hint="eastAsia"/>
          <w:b w:val="0"/>
          <w:bCs w:val="0"/>
          <w:lang w:val="en-US" w:eastAsia="zh-CN"/>
        </w:rPr>
      </w:pPr>
      <w:r>
        <w:rPr>
          <w:rFonts w:hint="eastAsia"/>
          <w:b w:val="0"/>
          <w:bCs w:val="0"/>
          <w:lang w:val="en-US" w:eastAsia="zh-CN"/>
        </w:rPr>
        <w:t xml:space="preserve">  1、车辆底盘</w:t>
      </w:r>
    </w:p>
    <w:p>
      <w:pPr>
        <w:pStyle w:val="64"/>
        <w:widowControl/>
        <w:spacing w:line="440" w:lineRule="exact"/>
        <w:jc w:val="left"/>
        <w:rPr>
          <w:rFonts w:hint="eastAsia"/>
          <w:b w:val="0"/>
          <w:bCs w:val="0"/>
          <w:lang w:val="en-US" w:eastAsia="zh-CN"/>
        </w:rPr>
      </w:pPr>
      <w:r>
        <w:rPr>
          <w:rFonts w:hint="eastAsia"/>
          <w:b w:val="0"/>
          <w:bCs w:val="0"/>
          <w:lang w:val="en-US" w:eastAsia="zh-CN"/>
        </w:rPr>
        <w:t>1.1推荐底盘品牌：采用东风，五十铃或尼桑底盘，配置原装空调、底盘配方向助力器、带离合器助力、倒车影像、乘坐3人；</w:t>
      </w:r>
    </w:p>
    <w:p>
      <w:pPr>
        <w:pStyle w:val="64"/>
        <w:widowControl/>
        <w:spacing w:line="440" w:lineRule="exact"/>
        <w:jc w:val="left"/>
        <w:rPr>
          <w:rFonts w:hint="eastAsia"/>
          <w:b w:val="0"/>
          <w:bCs w:val="0"/>
          <w:lang w:val="en-US" w:eastAsia="zh-CN"/>
        </w:rPr>
      </w:pPr>
      <w:r>
        <w:rPr>
          <w:rFonts w:hint="eastAsia"/>
          <w:b w:val="0"/>
          <w:bCs w:val="0"/>
          <w:lang w:val="en-US" w:eastAsia="zh-CN"/>
        </w:rPr>
        <w:t>1.2排放标准：国六；</w:t>
      </w:r>
    </w:p>
    <w:p>
      <w:pPr>
        <w:pStyle w:val="64"/>
        <w:widowControl/>
        <w:spacing w:line="440" w:lineRule="exact"/>
        <w:jc w:val="left"/>
        <w:rPr>
          <w:rFonts w:hint="eastAsia"/>
          <w:b w:val="0"/>
          <w:bCs w:val="0"/>
          <w:lang w:val="en-US" w:eastAsia="zh-CN"/>
        </w:rPr>
      </w:pPr>
      <w:r>
        <w:rPr>
          <w:rFonts w:hint="eastAsia"/>
          <w:b w:val="0"/>
          <w:bCs w:val="0"/>
          <w:lang w:val="en-US" w:eastAsia="zh-CN"/>
        </w:rPr>
        <w:t>1.3发动机功率（kw）≥154；</w:t>
      </w:r>
    </w:p>
    <w:p>
      <w:pPr>
        <w:pStyle w:val="64"/>
        <w:widowControl/>
        <w:spacing w:line="440" w:lineRule="exact"/>
        <w:jc w:val="left"/>
        <w:rPr>
          <w:rFonts w:hint="eastAsia"/>
          <w:b w:val="0"/>
          <w:bCs w:val="0"/>
          <w:lang w:val="en-US" w:eastAsia="zh-CN"/>
        </w:rPr>
      </w:pPr>
      <w:r>
        <w:rPr>
          <w:rFonts w:hint="eastAsia" w:ascii="宋体" w:hAnsi="宋体" w:eastAsia="宋体" w:cs="宋体"/>
          <w:color w:val="FF0000"/>
          <w:sz w:val="21"/>
          <w:szCs w:val="21"/>
        </w:rPr>
        <w:t>◆</w:t>
      </w:r>
      <w:r>
        <w:rPr>
          <w:rFonts w:hint="eastAsia"/>
          <w:b w:val="0"/>
          <w:bCs w:val="0"/>
          <w:color w:val="FF0000"/>
          <w:lang w:val="en-US" w:eastAsia="zh-CN"/>
        </w:rPr>
        <w:t>1.4整</w:t>
      </w:r>
      <w:r>
        <w:rPr>
          <w:rFonts w:hint="eastAsia"/>
          <w:b w:val="0"/>
          <w:bCs w:val="0"/>
          <w:lang w:val="en-US" w:eastAsia="zh-CN"/>
        </w:rPr>
        <w:t>车外形尺寸：长×宽×高（mm）≤8800*2550*3530 ；</w:t>
      </w:r>
    </w:p>
    <w:p>
      <w:pPr>
        <w:pStyle w:val="64"/>
        <w:widowControl/>
        <w:spacing w:line="440" w:lineRule="exact"/>
        <w:jc w:val="left"/>
        <w:rPr>
          <w:rFonts w:hint="eastAsia"/>
          <w:b w:val="0"/>
          <w:bCs w:val="0"/>
          <w:lang w:val="en-US" w:eastAsia="zh-CN"/>
        </w:rPr>
      </w:pPr>
      <w:r>
        <w:rPr>
          <w:rFonts w:hint="eastAsia"/>
          <w:b w:val="0"/>
          <w:bCs w:val="0"/>
          <w:lang w:val="en-US" w:eastAsia="zh-CN"/>
        </w:rPr>
        <w:t>1.5发动机排量ml)≥6200；</w:t>
      </w:r>
    </w:p>
    <w:p>
      <w:pPr>
        <w:pStyle w:val="64"/>
        <w:widowControl/>
        <w:spacing w:line="440" w:lineRule="exact"/>
        <w:jc w:val="left"/>
        <w:rPr>
          <w:rFonts w:hint="default"/>
          <w:b w:val="0"/>
          <w:bCs w:val="0"/>
          <w:lang w:val="en-US" w:eastAsia="zh-CN"/>
        </w:rPr>
      </w:pPr>
      <w:r>
        <w:rPr>
          <w:rFonts w:hint="eastAsia"/>
          <w:b w:val="0"/>
          <w:bCs w:val="0"/>
          <w:lang w:val="en-US" w:eastAsia="zh-CN"/>
        </w:rPr>
        <w:t>1.6推荐采用知名品牌发动机如康明斯，斯坦福，帕金斯等；</w:t>
      </w:r>
    </w:p>
    <w:p>
      <w:pPr>
        <w:pStyle w:val="64"/>
        <w:widowControl/>
        <w:spacing w:line="440" w:lineRule="exact"/>
        <w:jc w:val="left"/>
        <w:rPr>
          <w:rFonts w:hint="eastAsia"/>
          <w:b w:val="0"/>
          <w:bCs w:val="0"/>
          <w:lang w:val="en-US" w:eastAsia="zh-CN"/>
        </w:rPr>
      </w:pPr>
      <w:r>
        <w:rPr>
          <w:rFonts w:hint="eastAsia"/>
          <w:b w:val="0"/>
          <w:bCs w:val="0"/>
          <w:lang w:val="en-US" w:eastAsia="zh-CN"/>
        </w:rPr>
        <w:t>1.7轴距（mm）≤4700；</w:t>
      </w:r>
    </w:p>
    <w:p>
      <w:pPr>
        <w:pStyle w:val="64"/>
        <w:widowControl/>
        <w:spacing w:line="440" w:lineRule="exact"/>
        <w:jc w:val="left"/>
        <w:rPr>
          <w:rFonts w:hint="eastAsia"/>
          <w:b w:val="0"/>
          <w:bCs w:val="0"/>
          <w:color w:val="auto"/>
          <w:lang w:val="en-US" w:eastAsia="zh-CN"/>
        </w:rPr>
      </w:pPr>
      <w:r>
        <w:rPr>
          <w:rFonts w:hint="eastAsia" w:ascii="宋体" w:hAnsi="宋体" w:eastAsia="宋体" w:cs="宋体"/>
          <w:color w:val="FF0000"/>
          <w:sz w:val="21"/>
          <w:szCs w:val="21"/>
          <w:lang w:val="en-US" w:eastAsia="zh-CN"/>
        </w:rPr>
        <w:t>*</w:t>
      </w:r>
      <w:r>
        <w:rPr>
          <w:rFonts w:hint="eastAsia"/>
          <w:b w:val="0"/>
          <w:bCs w:val="0"/>
          <w:color w:val="auto"/>
          <w:lang w:val="en-US" w:eastAsia="zh-CN"/>
        </w:rPr>
        <w:t>1.8总质量（kg)≤16000；</w:t>
      </w:r>
    </w:p>
    <w:p>
      <w:pPr>
        <w:pStyle w:val="64"/>
        <w:widowControl/>
        <w:spacing w:line="440" w:lineRule="exact"/>
        <w:jc w:val="left"/>
        <w:rPr>
          <w:rFonts w:hint="eastAsia"/>
          <w:b w:val="0"/>
          <w:bCs w:val="0"/>
          <w:lang w:val="en-US" w:eastAsia="zh-CN"/>
        </w:rPr>
      </w:pPr>
      <w:r>
        <w:rPr>
          <w:rFonts w:hint="eastAsia" w:ascii="宋体" w:hAnsi="宋体" w:eastAsia="宋体" w:cs="宋体"/>
          <w:color w:val="FF0000"/>
          <w:sz w:val="21"/>
          <w:szCs w:val="21"/>
          <w:lang w:val="en-US" w:eastAsia="zh-CN"/>
        </w:rPr>
        <w:t>*</w:t>
      </w:r>
      <w:r>
        <w:rPr>
          <w:rFonts w:hint="eastAsia"/>
          <w:b w:val="0"/>
          <w:bCs w:val="0"/>
          <w:lang w:val="en-US" w:eastAsia="zh-CN"/>
        </w:rPr>
        <w:t>1.9整备质量（kg)≥15800；</w:t>
      </w:r>
    </w:p>
    <w:p>
      <w:pPr>
        <w:pStyle w:val="64"/>
        <w:widowControl/>
        <w:spacing w:line="440" w:lineRule="exact"/>
        <w:jc w:val="left"/>
        <w:rPr>
          <w:rFonts w:hint="eastAsia"/>
          <w:b w:val="0"/>
          <w:bCs w:val="0"/>
          <w:lang w:val="en-US" w:eastAsia="zh-CN"/>
        </w:rPr>
      </w:pPr>
      <w:r>
        <w:rPr>
          <w:rFonts w:hint="eastAsia" w:ascii="宋体" w:hAnsi="宋体" w:eastAsia="宋体" w:cs="宋体"/>
          <w:color w:val="FF0000"/>
          <w:sz w:val="21"/>
          <w:szCs w:val="21"/>
        </w:rPr>
        <w:t>◆</w:t>
      </w:r>
      <w:r>
        <w:rPr>
          <w:rFonts w:hint="eastAsia"/>
          <w:b w:val="0"/>
          <w:bCs w:val="0"/>
          <w:lang w:val="en-US" w:eastAsia="zh-CN"/>
        </w:rPr>
        <w:t>1.10接近角\离去角（°）≤17/13；</w:t>
      </w:r>
    </w:p>
    <w:p>
      <w:pPr>
        <w:pStyle w:val="64"/>
        <w:widowControl/>
        <w:spacing w:line="440" w:lineRule="exact"/>
        <w:jc w:val="left"/>
        <w:rPr>
          <w:rFonts w:hint="eastAsia"/>
          <w:b w:val="0"/>
          <w:bCs w:val="0"/>
          <w:lang w:val="en-US" w:eastAsia="zh-CN"/>
        </w:rPr>
      </w:pPr>
      <w:r>
        <w:rPr>
          <w:rFonts w:hint="eastAsia" w:ascii="宋体" w:hAnsi="宋体" w:eastAsia="宋体" w:cs="宋体"/>
          <w:color w:val="FF0000"/>
          <w:sz w:val="21"/>
          <w:szCs w:val="21"/>
        </w:rPr>
        <w:t>◆</w:t>
      </w:r>
      <w:r>
        <w:rPr>
          <w:rFonts w:hint="eastAsia"/>
          <w:b w:val="0"/>
          <w:bCs w:val="0"/>
          <w:lang w:val="en-US" w:eastAsia="zh-CN"/>
        </w:rPr>
        <w:t>1.11前悬（mm）≥1430；</w:t>
      </w:r>
    </w:p>
    <w:p>
      <w:pPr>
        <w:pStyle w:val="64"/>
        <w:widowControl/>
        <w:spacing w:line="440" w:lineRule="exact"/>
        <w:jc w:val="left"/>
        <w:rPr>
          <w:rFonts w:hint="eastAsia"/>
          <w:b w:val="0"/>
          <w:bCs w:val="0"/>
          <w:lang w:val="en-US" w:eastAsia="zh-CN"/>
        </w:rPr>
      </w:pPr>
      <w:r>
        <w:rPr>
          <w:rFonts w:hint="eastAsia" w:ascii="宋体" w:hAnsi="宋体" w:eastAsia="宋体" w:cs="宋体"/>
          <w:color w:val="FF0000"/>
          <w:sz w:val="21"/>
          <w:szCs w:val="21"/>
        </w:rPr>
        <w:t>◆</w:t>
      </w:r>
      <w:r>
        <w:rPr>
          <w:rFonts w:hint="eastAsia"/>
          <w:b w:val="0"/>
          <w:bCs w:val="0"/>
          <w:lang w:val="en-US" w:eastAsia="zh-CN"/>
        </w:rPr>
        <w:t>1.12后悬（mm）≥2670；</w:t>
      </w:r>
    </w:p>
    <w:p>
      <w:pPr>
        <w:pStyle w:val="64"/>
        <w:widowControl/>
        <w:spacing w:line="440" w:lineRule="exact"/>
        <w:jc w:val="left"/>
        <w:rPr>
          <w:rFonts w:hint="eastAsia"/>
          <w:b w:val="0"/>
          <w:bCs w:val="0"/>
          <w:lang w:val="en-US" w:eastAsia="zh-CN"/>
        </w:rPr>
      </w:pPr>
      <w:r>
        <w:rPr>
          <w:rFonts w:hint="eastAsia"/>
          <w:b w:val="0"/>
          <w:bCs w:val="0"/>
          <w:lang w:val="en-US" w:eastAsia="zh-CN"/>
        </w:rPr>
        <w:t>轴荷≤5600/10400；</w:t>
      </w:r>
    </w:p>
    <w:p>
      <w:pPr>
        <w:pStyle w:val="64"/>
        <w:widowControl/>
        <w:spacing w:line="440" w:lineRule="exact"/>
        <w:jc w:val="left"/>
        <w:rPr>
          <w:rFonts w:hint="eastAsia"/>
          <w:b w:val="0"/>
          <w:bCs w:val="0"/>
          <w:lang w:val="en-US" w:eastAsia="zh-CN"/>
        </w:rPr>
      </w:pPr>
      <w:r>
        <w:rPr>
          <w:rFonts w:hint="eastAsia"/>
          <w:b w:val="0"/>
          <w:bCs w:val="0"/>
          <w:lang w:val="en-US" w:eastAsia="zh-CN"/>
        </w:rPr>
        <w:t>最高车速≤89km/h；</w:t>
      </w:r>
    </w:p>
    <w:p>
      <w:pPr>
        <w:pStyle w:val="64"/>
        <w:widowControl/>
        <w:spacing w:line="440" w:lineRule="exact"/>
        <w:jc w:val="left"/>
        <w:rPr>
          <w:rFonts w:hint="eastAsia"/>
          <w:b w:val="0"/>
          <w:bCs w:val="0"/>
          <w:lang w:val="en-US" w:eastAsia="zh-CN"/>
        </w:rPr>
      </w:pPr>
      <w:r>
        <w:rPr>
          <w:rFonts w:hint="eastAsia" w:ascii="宋体" w:hAnsi="宋体" w:eastAsia="宋体" w:cs="宋体"/>
          <w:color w:val="FF0000"/>
          <w:sz w:val="21"/>
          <w:szCs w:val="21"/>
        </w:rPr>
        <w:t>◆</w:t>
      </w:r>
      <w:r>
        <w:rPr>
          <w:rFonts w:hint="eastAsia"/>
          <w:b w:val="0"/>
          <w:bCs w:val="0"/>
          <w:lang w:val="en-US" w:eastAsia="zh-CN"/>
        </w:rPr>
        <w:t>1.13侧防护离地高度（mm）≥400；</w:t>
      </w:r>
    </w:p>
    <w:p>
      <w:pPr>
        <w:pStyle w:val="64"/>
        <w:widowControl/>
        <w:spacing w:line="440" w:lineRule="exact"/>
        <w:jc w:val="left"/>
        <w:rPr>
          <w:rFonts w:hint="eastAsia"/>
          <w:b w:val="0"/>
          <w:bCs w:val="0"/>
          <w:lang w:val="en-US" w:eastAsia="zh-CN"/>
        </w:rPr>
      </w:pPr>
      <w:r>
        <w:rPr>
          <w:rFonts w:hint="eastAsia" w:ascii="宋体" w:hAnsi="宋体" w:eastAsia="宋体" w:cs="宋体"/>
          <w:color w:val="FF0000"/>
          <w:sz w:val="21"/>
          <w:szCs w:val="21"/>
        </w:rPr>
        <w:t>◆</w:t>
      </w:r>
      <w:r>
        <w:rPr>
          <w:rFonts w:hint="eastAsia"/>
          <w:b w:val="0"/>
          <w:bCs w:val="0"/>
          <w:lang w:val="en-US" w:eastAsia="zh-CN"/>
        </w:rPr>
        <w:t>1.14后防护离地高度（mm）≤480；</w:t>
      </w:r>
    </w:p>
    <w:p>
      <w:pPr>
        <w:pStyle w:val="64"/>
        <w:widowControl/>
        <w:spacing w:line="440" w:lineRule="exact"/>
        <w:jc w:val="left"/>
        <w:rPr>
          <w:rFonts w:hint="eastAsia"/>
          <w:b w:val="0"/>
          <w:bCs w:val="0"/>
          <w:lang w:val="en-US" w:eastAsia="zh-CN"/>
        </w:rPr>
      </w:pPr>
      <w:r>
        <w:rPr>
          <w:rFonts w:hint="eastAsia"/>
          <w:b w:val="0"/>
          <w:bCs w:val="0"/>
          <w:lang w:val="en-US" w:eastAsia="zh-CN"/>
        </w:rPr>
        <w:t>2、整车形式</w:t>
      </w:r>
    </w:p>
    <w:p>
      <w:pPr>
        <w:pStyle w:val="64"/>
        <w:widowControl/>
        <w:spacing w:line="440" w:lineRule="exact"/>
        <w:jc w:val="left"/>
        <w:rPr>
          <w:rFonts w:hint="eastAsia"/>
          <w:b w:val="0"/>
          <w:bCs w:val="0"/>
          <w:lang w:val="en-US" w:eastAsia="zh-CN"/>
        </w:rPr>
      </w:pPr>
      <w:r>
        <w:rPr>
          <w:rFonts w:hint="eastAsia"/>
          <w:b w:val="0"/>
          <w:bCs w:val="0"/>
          <w:lang w:val="en-US" w:eastAsia="zh-CN"/>
        </w:rPr>
        <w:t>2.1在底盘上装配全封闭低噪音隔音车厢，外部材质为优质冷轧钢板，内衬为优质冷轧钢板折弯骨架；</w:t>
      </w:r>
    </w:p>
    <w:p>
      <w:pPr>
        <w:pStyle w:val="64"/>
        <w:widowControl/>
        <w:spacing w:line="440" w:lineRule="exact"/>
        <w:jc w:val="left"/>
        <w:rPr>
          <w:rFonts w:hint="eastAsia"/>
          <w:b w:val="0"/>
          <w:bCs w:val="0"/>
          <w:lang w:val="en-US" w:eastAsia="zh-CN"/>
        </w:rPr>
      </w:pPr>
      <w:r>
        <w:rPr>
          <w:rFonts w:hint="eastAsia"/>
          <w:b w:val="0"/>
          <w:bCs w:val="0"/>
          <w:lang w:val="en-US" w:eastAsia="zh-CN"/>
        </w:rPr>
        <w:t>2.2车厢前部放置固定式发电机组，采用螺栓结构固定，方便拆卸检修；车厢后部放置抢险水泵及排水管，两侧选用上掀门、内配安装直流照明灯，便于车厢内操作作业，车厢尾部配铝合金卷帘门，须具备防雨、防雪、防尘功能；</w:t>
      </w:r>
    </w:p>
    <w:p>
      <w:pPr>
        <w:pStyle w:val="64"/>
        <w:widowControl/>
        <w:spacing w:line="440" w:lineRule="exact"/>
        <w:jc w:val="left"/>
        <w:rPr>
          <w:rFonts w:hint="eastAsia"/>
          <w:b w:val="0"/>
          <w:bCs w:val="0"/>
          <w:lang w:val="en-US" w:eastAsia="zh-CN"/>
        </w:rPr>
      </w:pPr>
      <w:r>
        <w:rPr>
          <w:rFonts w:hint="eastAsia" w:ascii="宋体" w:hAnsi="宋体" w:eastAsia="宋体" w:cs="宋体"/>
          <w:color w:val="FF0000"/>
          <w:sz w:val="21"/>
          <w:szCs w:val="21"/>
        </w:rPr>
        <w:t>◆</w:t>
      </w:r>
      <w:r>
        <w:rPr>
          <w:rFonts w:hint="eastAsia"/>
          <w:b w:val="0"/>
          <w:bCs w:val="0"/>
          <w:lang w:val="en-US" w:eastAsia="zh-CN"/>
        </w:rPr>
        <w:t>2.3车辆两侧须各配两只（共四只）黄白爆闪警灯；</w:t>
      </w:r>
    </w:p>
    <w:p>
      <w:pPr>
        <w:pStyle w:val="64"/>
        <w:widowControl/>
        <w:spacing w:line="440" w:lineRule="exact"/>
        <w:jc w:val="left"/>
        <w:rPr>
          <w:rFonts w:hint="eastAsia"/>
          <w:b w:val="0"/>
          <w:bCs w:val="0"/>
          <w:lang w:val="en-US" w:eastAsia="zh-CN"/>
        </w:rPr>
      </w:pPr>
      <w:r>
        <w:rPr>
          <w:rFonts w:hint="eastAsia"/>
          <w:b w:val="0"/>
          <w:bCs w:val="0"/>
          <w:lang w:val="en-US" w:eastAsia="zh-CN"/>
        </w:rPr>
        <w:t>2.4机组安装结构排列合理、整齐；具备抗震功能，车厢内空间宽敞，方便维护操作。</w:t>
      </w:r>
    </w:p>
    <w:p>
      <w:pPr>
        <w:pStyle w:val="64"/>
        <w:widowControl/>
        <w:spacing w:line="440" w:lineRule="exact"/>
        <w:jc w:val="left"/>
        <w:rPr>
          <w:rFonts w:hint="eastAsia"/>
          <w:b w:val="0"/>
          <w:bCs w:val="0"/>
          <w:lang w:val="en-US" w:eastAsia="zh-CN"/>
        </w:rPr>
      </w:pPr>
      <w:r>
        <w:rPr>
          <w:rFonts w:hint="eastAsia"/>
          <w:b w:val="0"/>
          <w:bCs w:val="0"/>
          <w:lang w:val="en-US" w:eastAsia="zh-CN"/>
        </w:rPr>
        <w:t>2.5汽车底盘做框架结构加固和防震处理，车轮处加弧形导罩。</w:t>
      </w:r>
    </w:p>
    <w:p>
      <w:pPr>
        <w:pStyle w:val="64"/>
        <w:widowControl/>
        <w:spacing w:line="440" w:lineRule="exact"/>
        <w:jc w:val="left"/>
        <w:rPr>
          <w:rFonts w:hint="eastAsia"/>
          <w:b w:val="0"/>
          <w:bCs w:val="0"/>
          <w:lang w:val="en-US" w:eastAsia="zh-CN"/>
        </w:rPr>
      </w:pPr>
      <w:r>
        <w:rPr>
          <w:rFonts w:hint="eastAsia"/>
          <w:b w:val="0"/>
          <w:bCs w:val="0"/>
          <w:lang w:val="en-US" w:eastAsia="zh-CN"/>
        </w:rPr>
        <w:t>2.6车厢地板表层应采用花纹防滑不锈钢板材；内壁填充吸音降噪棉。</w:t>
      </w:r>
    </w:p>
    <w:p>
      <w:pPr>
        <w:pStyle w:val="64"/>
        <w:widowControl/>
        <w:spacing w:line="440" w:lineRule="exact"/>
        <w:jc w:val="left"/>
        <w:rPr>
          <w:rFonts w:hint="eastAsia"/>
          <w:b w:val="0"/>
          <w:bCs w:val="0"/>
          <w:lang w:val="en-US" w:eastAsia="zh-CN"/>
        </w:rPr>
      </w:pPr>
      <w:r>
        <w:rPr>
          <w:rFonts w:hint="eastAsia"/>
          <w:b w:val="0"/>
          <w:bCs w:val="0"/>
          <w:lang w:val="en-US" w:eastAsia="zh-CN"/>
        </w:rPr>
        <w:t>2.7车辆厢体要求采用整体包覆式，设置下围箱，下围箱内应设置2只以上储藏箱，放置相关维修工具、接地装置等物品；接线安装位置要求设置在车厢侧面合理位置，密闭防水。</w:t>
      </w:r>
    </w:p>
    <w:p>
      <w:pPr>
        <w:pStyle w:val="64"/>
        <w:widowControl/>
        <w:spacing w:line="440" w:lineRule="exact"/>
        <w:jc w:val="left"/>
        <w:rPr>
          <w:rFonts w:hint="eastAsia"/>
          <w:b w:val="0"/>
          <w:bCs w:val="0"/>
          <w:lang w:val="en-US" w:eastAsia="zh-CN"/>
        </w:rPr>
      </w:pPr>
      <w:r>
        <w:rPr>
          <w:rFonts w:hint="eastAsia"/>
          <w:b w:val="0"/>
          <w:bCs w:val="0"/>
          <w:lang w:val="en-US" w:eastAsia="zh-CN"/>
        </w:rPr>
        <w:t>2.8车厢和驾驶室之间安装不锈钢爬梯一套方便登车维护灯具等</w:t>
      </w:r>
    </w:p>
    <w:p>
      <w:pPr>
        <w:pStyle w:val="64"/>
        <w:widowControl/>
        <w:spacing w:line="440" w:lineRule="exact"/>
        <w:jc w:val="left"/>
        <w:rPr>
          <w:rFonts w:hint="eastAsia"/>
          <w:b w:val="0"/>
          <w:bCs w:val="0"/>
          <w:lang w:val="en-US" w:eastAsia="zh-CN"/>
        </w:rPr>
      </w:pPr>
      <w:r>
        <w:rPr>
          <w:rFonts w:hint="eastAsia"/>
          <w:b w:val="0"/>
          <w:bCs w:val="0"/>
          <w:lang w:val="en-US" w:eastAsia="zh-CN"/>
        </w:rPr>
        <w:t>整车须为国家工业和信息化部《道路机动车辆生产企业及产品》公告中的车型，技术参数和外形结构必须与公告中的车型的技术参数和外形结构一致，并确保符合车辆上牌要求。</w:t>
      </w:r>
    </w:p>
    <w:p>
      <w:pPr>
        <w:pStyle w:val="64"/>
        <w:widowControl/>
        <w:spacing w:line="440" w:lineRule="exact"/>
        <w:jc w:val="left"/>
        <w:rPr>
          <w:rFonts w:hint="eastAsia"/>
          <w:b w:val="0"/>
          <w:bCs w:val="0"/>
          <w:lang w:val="en-US" w:eastAsia="zh-CN"/>
        </w:rPr>
      </w:pPr>
      <w:r>
        <w:rPr>
          <w:rFonts w:hint="eastAsia"/>
          <w:b w:val="0"/>
          <w:bCs w:val="0"/>
          <w:lang w:val="en-US" w:eastAsia="zh-CN"/>
        </w:rPr>
        <w:t>2.9须提供所投车辆已纳入《免征车辆购置税的设有固定装置的非运输专用作业车辆目录》的相关证明材料。</w:t>
      </w:r>
    </w:p>
    <w:p>
      <w:pPr>
        <w:pStyle w:val="64"/>
        <w:widowControl/>
        <w:spacing w:line="440" w:lineRule="exact"/>
        <w:jc w:val="left"/>
        <w:rPr>
          <w:rFonts w:hint="eastAsia"/>
          <w:b w:val="0"/>
          <w:bCs w:val="0"/>
          <w:lang w:val="en-US" w:eastAsia="zh-CN"/>
        </w:rPr>
      </w:pPr>
      <w:r>
        <w:rPr>
          <w:rFonts w:hint="eastAsia"/>
          <w:b w:val="0"/>
          <w:bCs w:val="0"/>
          <w:lang w:val="en-US" w:eastAsia="zh-CN"/>
        </w:rPr>
        <w:t>注：响应文件中提供所投车辆在《道路机动车辆生产企业及产品》公告内的公告批次或详细数据页面截图扫描件或影印件，公告批次证明文件以国家工信部网站为准。</w:t>
      </w:r>
    </w:p>
    <w:p>
      <w:pPr>
        <w:pStyle w:val="64"/>
        <w:widowControl/>
        <w:spacing w:line="440" w:lineRule="exact"/>
        <w:jc w:val="left"/>
        <w:rPr>
          <w:rFonts w:hint="eastAsia"/>
          <w:b w:val="0"/>
          <w:bCs w:val="0"/>
          <w:lang w:val="en-US" w:eastAsia="zh-CN"/>
        </w:rPr>
      </w:pPr>
      <w:r>
        <w:rPr>
          <w:rFonts w:hint="eastAsia"/>
          <w:b w:val="0"/>
          <w:bCs w:val="0"/>
          <w:lang w:val="en-US" w:eastAsia="zh-CN"/>
        </w:rPr>
        <w:t>3、水泵（配备8台轻型潜水泵，流量500m³/h）</w:t>
      </w:r>
    </w:p>
    <w:p>
      <w:pPr>
        <w:pStyle w:val="64"/>
        <w:widowControl/>
        <w:spacing w:line="440" w:lineRule="exact"/>
        <w:jc w:val="left"/>
        <w:rPr>
          <w:rFonts w:hint="eastAsia"/>
          <w:b w:val="0"/>
          <w:bCs w:val="0"/>
          <w:lang w:val="en-US" w:eastAsia="zh-CN"/>
        </w:rPr>
      </w:pPr>
      <w:r>
        <w:rPr>
          <w:rFonts w:hint="eastAsia" w:ascii="宋体" w:hAnsi="宋体" w:eastAsia="宋体" w:cs="宋体"/>
          <w:color w:val="FF0000"/>
          <w:sz w:val="21"/>
          <w:szCs w:val="21"/>
        </w:rPr>
        <w:t>◆</w:t>
      </w:r>
      <w:r>
        <w:rPr>
          <w:rFonts w:hint="eastAsia"/>
          <w:b w:val="0"/>
          <w:bCs w:val="0"/>
          <w:lang w:val="en-US" w:eastAsia="zh-CN"/>
        </w:rPr>
        <w:t>3.1泵车须配备 8台轻型潜水泵；型号参数为：额定工况点Ｑ=500m³/h，扬程≥10m，水泵效率 ≥70%，额定电机功率 N≥22KW；须同时满足Ｑ=200m³/h，H≥18m；水泵 效率≥65%。单泵重量≤45kg，水泵尺寸高度≤650mm，宽度≤300mm，长度≤400mm。材质：叶轮、中心轴及外壳均要求为不锈钢，出口接头为铝合金，机械密封——碳化硅－碳化硅或碳化钨－碳化钨。</w:t>
      </w:r>
    </w:p>
    <w:p>
      <w:pPr>
        <w:pStyle w:val="64"/>
        <w:widowControl/>
        <w:spacing w:line="440" w:lineRule="exact"/>
        <w:jc w:val="left"/>
        <w:rPr>
          <w:rFonts w:hint="eastAsia"/>
          <w:b w:val="0"/>
          <w:bCs w:val="0"/>
          <w:lang w:val="en-US" w:eastAsia="zh-CN"/>
        </w:rPr>
      </w:pPr>
      <w:r>
        <w:rPr>
          <w:rFonts w:hint="eastAsia"/>
          <w:b w:val="0"/>
          <w:bCs w:val="0"/>
          <w:lang w:val="en-US" w:eastAsia="zh-CN"/>
        </w:rPr>
        <w:t>3.2提供第三方有权机构出具的流量、扬程、功率曲线检测报告扫描件或影印件。</w:t>
      </w:r>
    </w:p>
    <w:p>
      <w:pPr>
        <w:pStyle w:val="64"/>
        <w:widowControl/>
        <w:spacing w:line="440" w:lineRule="exact"/>
        <w:jc w:val="left"/>
        <w:rPr>
          <w:rFonts w:hint="eastAsia"/>
          <w:b w:val="0"/>
          <w:bCs w:val="0"/>
          <w:lang w:val="en-US" w:eastAsia="zh-CN"/>
        </w:rPr>
      </w:pPr>
      <w:r>
        <w:rPr>
          <w:rFonts w:hint="eastAsia"/>
          <w:b w:val="0"/>
          <w:bCs w:val="0"/>
          <w:lang w:val="en-US" w:eastAsia="zh-CN"/>
        </w:rPr>
        <w:t>3.3单泵配聚胺脂高强度浮圈，一体成型，满足泵工作时的浮力要求，具卡口吊环连接软性固定吊索。</w:t>
      </w:r>
    </w:p>
    <w:p>
      <w:pPr>
        <w:pStyle w:val="64"/>
        <w:widowControl/>
        <w:spacing w:line="440" w:lineRule="exact"/>
        <w:jc w:val="left"/>
        <w:rPr>
          <w:rFonts w:hint="eastAsia"/>
          <w:b w:val="0"/>
          <w:bCs w:val="0"/>
          <w:lang w:val="en-US" w:eastAsia="zh-CN"/>
        </w:rPr>
      </w:pPr>
      <w:r>
        <w:rPr>
          <w:rFonts w:hint="eastAsia"/>
          <w:b w:val="0"/>
          <w:bCs w:val="0"/>
          <w:lang w:val="en-US" w:eastAsia="zh-CN"/>
        </w:rPr>
        <w:t>3.4泵车须配备8台轻型潜水泵；水泵配置电缆50m，具体为水泵电源线10米，水泵自带30m，延长线10m，电缆接头防水等级达到 IP67 以上。便携泵航空快插具备高安全性，适用于恶劣天气户外抢险作业，具有防水防尘能力，防护等级≥IP67</w:t>
      </w:r>
    </w:p>
    <w:p>
      <w:pPr>
        <w:pStyle w:val="64"/>
        <w:widowControl/>
        <w:spacing w:line="440" w:lineRule="exact"/>
        <w:jc w:val="left"/>
        <w:rPr>
          <w:rFonts w:hint="eastAsia"/>
          <w:b w:val="0"/>
          <w:bCs w:val="0"/>
          <w:lang w:val="en-US" w:eastAsia="zh-CN"/>
        </w:rPr>
      </w:pPr>
      <w:r>
        <w:rPr>
          <w:rFonts w:hint="eastAsia"/>
          <w:b w:val="0"/>
          <w:bCs w:val="0"/>
          <w:lang w:val="en-US" w:eastAsia="zh-CN"/>
        </w:rPr>
        <w:t>4、发电机组 （参考品牌：康明斯、帕金斯，斯坦福）</w:t>
      </w:r>
    </w:p>
    <w:p>
      <w:pPr>
        <w:pStyle w:val="64"/>
        <w:widowControl/>
        <w:spacing w:line="440" w:lineRule="exact"/>
        <w:jc w:val="left"/>
        <w:rPr>
          <w:rFonts w:hint="eastAsia"/>
          <w:b w:val="0"/>
          <w:bCs w:val="0"/>
          <w:lang w:val="en-US" w:eastAsia="zh-CN"/>
        </w:rPr>
      </w:pPr>
      <w:r>
        <w:rPr>
          <w:rFonts w:hint="eastAsia"/>
          <w:b w:val="0"/>
          <w:bCs w:val="0"/>
          <w:lang w:val="en-US" w:eastAsia="zh-CN"/>
        </w:rPr>
        <w:t>柴油发电机组常用功率≥200kw，无碳刷，发电机组降噪处理，降噪能力7m处72分贝。发动机缸数≥6，缸径/行程≥125×147（mm），排量≥10.8L,压缩比≥15.0，排烟量≥ 950L/s。发电机防护等级IP22，发电机效率≥90%，电压整定范围≥±5%，稳态电压调整率≤±1%。须满足国内环保指标，排放标准不低于国三。</w:t>
      </w:r>
    </w:p>
    <w:p>
      <w:pPr>
        <w:pStyle w:val="64"/>
        <w:widowControl/>
        <w:spacing w:line="440" w:lineRule="exact"/>
        <w:jc w:val="left"/>
        <w:rPr>
          <w:rFonts w:hint="eastAsia"/>
          <w:b w:val="0"/>
          <w:bCs w:val="0"/>
          <w:lang w:val="en-US" w:eastAsia="zh-CN"/>
        </w:rPr>
      </w:pPr>
      <w:r>
        <w:rPr>
          <w:rFonts w:hint="eastAsia"/>
          <w:b w:val="0"/>
          <w:bCs w:val="0"/>
          <w:lang w:val="en-US" w:eastAsia="zh-CN"/>
        </w:rPr>
        <w:t>5、操作控制系统</w:t>
      </w:r>
    </w:p>
    <w:p>
      <w:pPr>
        <w:pStyle w:val="64"/>
        <w:widowControl/>
        <w:spacing w:line="440" w:lineRule="exact"/>
        <w:jc w:val="left"/>
        <w:rPr>
          <w:rFonts w:hint="eastAsia"/>
          <w:b w:val="0"/>
          <w:bCs w:val="0"/>
          <w:lang w:val="en-US" w:eastAsia="zh-CN"/>
        </w:rPr>
      </w:pPr>
      <w:r>
        <w:rPr>
          <w:rFonts w:hint="eastAsia"/>
          <w:b w:val="0"/>
          <w:bCs w:val="0"/>
          <w:lang w:val="en-US" w:eastAsia="zh-CN"/>
        </w:rPr>
        <w:t>5.1控制系统采用智能控制及按钮开关控制系统，能够检测并显示机组工作时的电压、电流、频率，显示柴油机的油压、水温等信息。同时对机组实行保护、报警提示等作用</w:t>
      </w:r>
    </w:p>
    <w:p>
      <w:pPr>
        <w:pStyle w:val="64"/>
        <w:widowControl/>
        <w:spacing w:line="440" w:lineRule="exact"/>
        <w:jc w:val="left"/>
        <w:rPr>
          <w:rFonts w:hint="eastAsia"/>
          <w:b w:val="0"/>
          <w:bCs w:val="0"/>
          <w:lang w:val="en-US" w:eastAsia="zh-CN"/>
        </w:rPr>
      </w:pPr>
      <w:r>
        <w:rPr>
          <w:rFonts w:hint="eastAsia"/>
          <w:b w:val="0"/>
          <w:bCs w:val="0"/>
          <w:lang w:val="en-US" w:eastAsia="zh-CN"/>
        </w:rPr>
        <w:t>5.2接地桩和接地电缆，连接车厢内专设桩头，保护作业安全；</w:t>
      </w:r>
    </w:p>
    <w:p>
      <w:pPr>
        <w:pStyle w:val="64"/>
        <w:widowControl/>
        <w:spacing w:line="440" w:lineRule="exact"/>
        <w:jc w:val="left"/>
        <w:rPr>
          <w:rFonts w:hint="eastAsia"/>
          <w:b w:val="0"/>
          <w:bCs w:val="0"/>
          <w:lang w:val="en-US" w:eastAsia="zh-CN"/>
        </w:rPr>
      </w:pPr>
      <w:r>
        <w:rPr>
          <w:rFonts w:hint="eastAsia"/>
          <w:b w:val="0"/>
          <w:bCs w:val="0"/>
          <w:lang w:val="en-US" w:eastAsia="zh-CN"/>
        </w:rPr>
        <w:t>5.3须在明显位置配置发电机、水泵、照明等操作控制按钮以及电流仪表等。</w:t>
      </w:r>
    </w:p>
    <w:p>
      <w:pPr>
        <w:pStyle w:val="64"/>
        <w:widowControl/>
        <w:spacing w:line="440" w:lineRule="exact"/>
        <w:jc w:val="left"/>
        <w:rPr>
          <w:rFonts w:hint="eastAsia"/>
          <w:b w:val="0"/>
          <w:bCs w:val="0"/>
          <w:lang w:val="en-US" w:eastAsia="zh-CN"/>
        </w:rPr>
      </w:pPr>
      <w:r>
        <w:rPr>
          <w:rFonts w:hint="eastAsia"/>
          <w:b w:val="0"/>
          <w:bCs w:val="0"/>
          <w:lang w:val="en-US" w:eastAsia="zh-CN"/>
        </w:rPr>
        <w:t>5.4在控制柜处应设置急停开关，当发电机组出现异常情况时便于停机</w:t>
      </w:r>
    </w:p>
    <w:p>
      <w:pPr>
        <w:pStyle w:val="64"/>
        <w:widowControl/>
        <w:spacing w:line="440" w:lineRule="exact"/>
        <w:jc w:val="left"/>
        <w:rPr>
          <w:rFonts w:hint="eastAsia"/>
          <w:b w:val="0"/>
          <w:bCs w:val="0"/>
          <w:lang w:val="en-US" w:eastAsia="zh-CN"/>
        </w:rPr>
      </w:pPr>
      <w:r>
        <w:rPr>
          <w:rFonts w:hint="eastAsia"/>
          <w:b w:val="0"/>
          <w:bCs w:val="0"/>
          <w:lang w:val="en-US" w:eastAsia="zh-CN"/>
        </w:rPr>
        <w:t>*5.5每套水泵配有单独的变频器控制柜，可方便从车厢内取出，也可接入市电使用，变频器采用知名品牌。控制系统能清晰显示主要工作参数，电流，电压，频率，转速，具有漏电保护，过载，过电流，报警跳闸等功能，对各个系统的控制有明确标识，可无极调速、正反转控制，达到节能效果。控制柜尺寸：高≤80cm 长≤40cm 宽≤35cm。控制柜安装位置位于车辆尾部左右两侧.便携泵控制柜具备高安全性，适用于恶劣天气户外抢险作业，具有防水防尘能力，防护等级≥IP55（投标文件中提供投标人获得的第三方有权检测机构出具的具有 CMA 和 CNAS 标 识的检测报告扫描件）。</w:t>
      </w:r>
    </w:p>
    <w:p>
      <w:pPr>
        <w:pStyle w:val="64"/>
        <w:widowControl/>
        <w:spacing w:line="440" w:lineRule="exact"/>
        <w:jc w:val="left"/>
        <w:rPr>
          <w:rFonts w:hint="eastAsia"/>
          <w:b w:val="0"/>
          <w:bCs w:val="0"/>
          <w:lang w:val="en-US" w:eastAsia="zh-CN"/>
        </w:rPr>
      </w:pPr>
      <w:r>
        <w:rPr>
          <w:rFonts w:hint="eastAsia"/>
          <w:b w:val="0"/>
          <w:bCs w:val="0"/>
          <w:lang w:val="en-US" w:eastAsia="zh-CN"/>
        </w:rPr>
        <w:t>6、车顶作业遥控探照灯</w:t>
      </w:r>
    </w:p>
    <w:p>
      <w:pPr>
        <w:pStyle w:val="64"/>
        <w:widowControl/>
        <w:spacing w:line="440" w:lineRule="exact"/>
        <w:jc w:val="left"/>
        <w:rPr>
          <w:rFonts w:hint="eastAsia"/>
          <w:b w:val="0"/>
          <w:bCs w:val="0"/>
          <w:lang w:val="en-US" w:eastAsia="zh-CN"/>
        </w:rPr>
      </w:pPr>
      <w:r>
        <w:rPr>
          <w:rFonts w:hint="eastAsia"/>
          <w:b w:val="0"/>
          <w:bCs w:val="0"/>
          <w:lang w:val="en-US" w:eastAsia="zh-CN"/>
        </w:rPr>
        <w:t>尾部车顶配2只遥控探照灯，安装在汽车尾部顶上，可遥控操作，灯头可左右360度旋转，可仰俯，照射距离1200m。</w:t>
      </w:r>
    </w:p>
    <w:p>
      <w:pPr>
        <w:pStyle w:val="64"/>
        <w:widowControl/>
        <w:spacing w:line="440" w:lineRule="exact"/>
        <w:jc w:val="left"/>
        <w:rPr>
          <w:rFonts w:hint="eastAsia"/>
          <w:b w:val="0"/>
          <w:bCs w:val="0"/>
          <w:lang w:val="en-US" w:eastAsia="zh-CN"/>
        </w:rPr>
      </w:pPr>
      <w:r>
        <w:rPr>
          <w:rFonts w:hint="eastAsia"/>
          <w:b w:val="0"/>
          <w:bCs w:val="0"/>
          <w:lang w:val="en-US" w:eastAsia="zh-CN"/>
        </w:rPr>
        <w:t>7、出水管</w:t>
      </w:r>
    </w:p>
    <w:p>
      <w:pPr>
        <w:pStyle w:val="64"/>
        <w:widowControl/>
        <w:spacing w:line="440" w:lineRule="exact"/>
        <w:jc w:val="left"/>
        <w:rPr>
          <w:rFonts w:hint="eastAsia"/>
          <w:b w:val="0"/>
          <w:bCs w:val="0"/>
          <w:lang w:val="en-US" w:eastAsia="zh-CN"/>
        </w:rPr>
      </w:pPr>
      <w:r>
        <w:rPr>
          <w:rFonts w:hint="eastAsia"/>
          <w:b w:val="0"/>
          <w:bCs w:val="0"/>
          <w:lang w:val="en-US" w:eastAsia="zh-CN"/>
        </w:rPr>
        <w:t>配置出水软管100m*8台，25米/根，共计32根。软管为快速接头连接，操作方便，并在接头处有防松保险装置，安全可靠。水管内径8寸，耐磨，耐压快速接头为不锈钢制作。</w:t>
      </w:r>
    </w:p>
    <w:p>
      <w:pPr>
        <w:pStyle w:val="64"/>
        <w:widowControl/>
        <w:spacing w:line="440" w:lineRule="exact"/>
        <w:jc w:val="left"/>
        <w:rPr>
          <w:rFonts w:hint="eastAsia"/>
          <w:b w:val="0"/>
          <w:bCs w:val="0"/>
          <w:lang w:val="en-US" w:eastAsia="zh-CN"/>
        </w:rPr>
      </w:pPr>
      <w:r>
        <w:rPr>
          <w:rFonts w:hint="eastAsia"/>
          <w:b w:val="0"/>
          <w:bCs w:val="0"/>
          <w:lang w:val="en-US" w:eastAsia="zh-CN"/>
        </w:rPr>
        <w:t>8、油箱容量</w:t>
      </w:r>
    </w:p>
    <w:p>
      <w:pPr>
        <w:pStyle w:val="64"/>
        <w:widowControl/>
        <w:spacing w:line="440" w:lineRule="exact"/>
        <w:jc w:val="left"/>
        <w:rPr>
          <w:rFonts w:hint="eastAsia"/>
          <w:b w:val="0"/>
          <w:bCs w:val="0"/>
          <w:lang w:val="en-US" w:eastAsia="zh-CN"/>
        </w:rPr>
      </w:pPr>
      <w:r>
        <w:rPr>
          <w:rFonts w:hint="eastAsia"/>
          <w:b w:val="0"/>
          <w:bCs w:val="0"/>
          <w:lang w:val="en-US" w:eastAsia="zh-CN"/>
        </w:rPr>
        <w:t>发电机油箱容积在最大排水量的工况下，能满足水泵满载运行8小时的油量。</w:t>
      </w:r>
    </w:p>
    <w:p>
      <w:pPr>
        <w:pStyle w:val="64"/>
        <w:widowControl/>
        <w:spacing w:line="440" w:lineRule="exact"/>
        <w:jc w:val="left"/>
        <w:rPr>
          <w:rFonts w:hint="eastAsia"/>
          <w:b w:val="0"/>
          <w:bCs w:val="0"/>
          <w:lang w:val="en-US" w:eastAsia="zh-CN"/>
        </w:rPr>
      </w:pPr>
      <w:r>
        <w:rPr>
          <w:rFonts w:hint="eastAsia"/>
          <w:b w:val="0"/>
          <w:bCs w:val="0"/>
          <w:lang w:val="en-US" w:eastAsia="zh-CN"/>
        </w:rPr>
        <w:t>9、其它</w:t>
      </w:r>
    </w:p>
    <w:p>
      <w:pPr>
        <w:pStyle w:val="64"/>
        <w:widowControl/>
        <w:spacing w:line="440" w:lineRule="exact"/>
        <w:jc w:val="left"/>
        <w:rPr>
          <w:rFonts w:hint="eastAsia"/>
          <w:b w:val="0"/>
          <w:bCs w:val="0"/>
          <w:lang w:val="en-US" w:eastAsia="zh-CN"/>
        </w:rPr>
      </w:pPr>
      <w:r>
        <w:rPr>
          <w:rFonts w:hint="eastAsia"/>
          <w:b w:val="0"/>
          <w:bCs w:val="0"/>
          <w:lang w:val="en-US" w:eastAsia="zh-CN"/>
        </w:rPr>
        <w:t>（1）整车颜色为工程黄；</w:t>
      </w:r>
    </w:p>
    <w:p>
      <w:pPr>
        <w:pStyle w:val="64"/>
        <w:widowControl/>
        <w:spacing w:line="440" w:lineRule="exact"/>
        <w:jc w:val="left"/>
        <w:rPr>
          <w:rFonts w:hint="eastAsia"/>
          <w:b w:val="0"/>
          <w:bCs w:val="0"/>
          <w:lang w:val="en-US" w:eastAsia="zh-CN"/>
        </w:rPr>
      </w:pPr>
      <w:r>
        <w:rPr>
          <w:rFonts w:hint="eastAsia"/>
          <w:b w:val="0"/>
          <w:bCs w:val="0"/>
          <w:lang w:val="en-US" w:eastAsia="zh-CN"/>
        </w:rPr>
        <w:t>（2）使用寿命≥10年；</w:t>
      </w:r>
    </w:p>
    <w:p>
      <w:pPr>
        <w:pStyle w:val="64"/>
        <w:widowControl/>
        <w:spacing w:line="440" w:lineRule="exact"/>
        <w:jc w:val="left"/>
        <w:rPr>
          <w:rFonts w:hint="eastAsia"/>
          <w:b w:val="0"/>
          <w:bCs w:val="0"/>
          <w:lang w:val="en-US" w:eastAsia="zh-CN"/>
        </w:rPr>
      </w:pPr>
      <w:r>
        <w:rPr>
          <w:rFonts w:hint="eastAsia"/>
          <w:b w:val="0"/>
          <w:bCs w:val="0"/>
          <w:lang w:val="en-US" w:eastAsia="zh-CN"/>
        </w:rPr>
        <w:t>（3）车辆附件和工具须齐全；</w:t>
      </w:r>
    </w:p>
    <w:p>
      <w:pPr>
        <w:pStyle w:val="64"/>
        <w:widowControl/>
        <w:spacing w:line="440" w:lineRule="exact"/>
        <w:jc w:val="left"/>
        <w:rPr>
          <w:rFonts w:hint="eastAsia"/>
          <w:b w:val="0"/>
          <w:bCs w:val="0"/>
          <w:lang w:val="en-US" w:eastAsia="zh-CN"/>
        </w:rPr>
      </w:pPr>
      <w:r>
        <w:rPr>
          <w:rFonts w:hint="eastAsia"/>
          <w:b w:val="0"/>
          <w:bCs w:val="0"/>
          <w:lang w:val="en-US" w:eastAsia="zh-CN"/>
        </w:rPr>
        <w:t>（4）确保车辆在当地车辆管理部门上牌。</w:t>
      </w:r>
    </w:p>
    <w:p>
      <w:pPr>
        <w:pStyle w:val="64"/>
        <w:widowControl/>
        <w:spacing w:line="440" w:lineRule="exact"/>
        <w:jc w:val="left"/>
        <w:rPr>
          <w:rFonts w:hint="eastAsia"/>
          <w:b w:val="0"/>
          <w:bCs w:val="0"/>
          <w:lang w:val="en-US" w:eastAsia="zh-CN"/>
        </w:rPr>
      </w:pPr>
      <w:r>
        <w:rPr>
          <w:rFonts w:hint="eastAsia"/>
          <w:b w:val="0"/>
          <w:bCs w:val="0"/>
          <w:lang w:val="en-US" w:eastAsia="zh-CN"/>
        </w:rPr>
        <w:t>10、起重系统</w:t>
      </w:r>
    </w:p>
    <w:p>
      <w:pPr>
        <w:pStyle w:val="64"/>
        <w:widowControl/>
        <w:spacing w:line="440" w:lineRule="exact"/>
        <w:jc w:val="left"/>
        <w:rPr>
          <w:rFonts w:hint="eastAsia"/>
          <w:b w:val="0"/>
          <w:bCs w:val="0"/>
          <w:lang w:val="en-US" w:eastAsia="zh-CN"/>
        </w:rPr>
      </w:pPr>
      <w:r>
        <w:rPr>
          <w:rFonts w:hint="eastAsia"/>
          <w:b w:val="0"/>
          <w:bCs w:val="0"/>
          <w:lang w:val="en-US" w:eastAsia="zh-CN"/>
        </w:rPr>
        <w:t>10.1尾部安装液压升降尾板，手动及按钮式遥控控制，载重能力强，用来起重较重设备到车厢内部，方便装卸水管及配件（投标车型需提供该车型整车中国汽车网或商车网公告数据能够加装液压尾板的数据文字或安装照片，需标注清楚）提供产品配备液压尾板实物。</w:t>
      </w:r>
    </w:p>
    <w:p>
      <w:pPr>
        <w:pStyle w:val="64"/>
        <w:widowControl/>
        <w:spacing w:line="440" w:lineRule="exact"/>
        <w:jc w:val="left"/>
        <w:rPr>
          <w:rFonts w:hint="eastAsia" w:ascii="宋体" w:hAnsi="宋体" w:eastAsia="宋体" w:cs="宋体"/>
          <w:b w:val="0"/>
          <w:bCs w:val="0"/>
          <w:color w:val="000000"/>
          <w:sz w:val="21"/>
          <w:szCs w:val="21"/>
          <w:highlight w:val="white"/>
        </w:rPr>
      </w:pPr>
      <w:r>
        <w:rPr>
          <w:rFonts w:hint="eastAsia"/>
          <w:b w:val="0"/>
          <w:bCs w:val="0"/>
          <w:lang w:val="en-US" w:eastAsia="zh-CN"/>
        </w:rPr>
        <w:t>10.2随车吊机，车厢尾部配备可折叠吊机，起重质量500kg，吊机 1.2-1.65m 可调节，立柱高 1.25m。 可用于起落水泵，水带等物品。</w:t>
      </w:r>
    </w:p>
    <w:p>
      <w:pPr>
        <w:pStyle w:val="64"/>
        <w:widowControl/>
        <w:spacing w:line="440" w:lineRule="exact"/>
        <w:jc w:val="left"/>
        <w:rPr>
          <w:rFonts w:hint="eastAsia" w:ascii="宋体" w:hAnsi="宋体" w:eastAsia="宋体" w:cs="宋体"/>
          <w:b w:val="0"/>
          <w:bCs w:val="0"/>
          <w:color w:val="000000"/>
          <w:sz w:val="21"/>
          <w:szCs w:val="21"/>
          <w:highlight w:val="white"/>
        </w:rPr>
      </w:pPr>
    </w:p>
    <w:p>
      <w:pPr>
        <w:pStyle w:val="64"/>
        <w:widowControl/>
        <w:spacing w:line="440" w:lineRule="exact"/>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highlight w:val="white"/>
        </w:rPr>
        <w:t>1、提供整车《中国国家强制性产品认证证书》扫描件；</w:t>
      </w:r>
    </w:p>
    <w:p>
      <w:pPr>
        <w:pStyle w:val="64"/>
        <w:snapToGrid w:val="0"/>
        <w:spacing w:line="360" w:lineRule="auto"/>
        <w:rPr>
          <w:rFonts w:hint="eastAsia" w:ascii="宋体" w:hAnsi="宋体" w:eastAsia="宋体" w:cs="宋体"/>
          <w:b w:val="0"/>
          <w:bCs w:val="0"/>
          <w:color w:val="000000"/>
          <w:sz w:val="21"/>
          <w:szCs w:val="21"/>
          <w:highlight w:val="white"/>
        </w:rPr>
      </w:pPr>
      <w:r>
        <w:rPr>
          <w:rFonts w:hint="eastAsia" w:ascii="宋体" w:hAnsi="宋体" w:eastAsia="宋体" w:cs="宋体"/>
          <w:b w:val="0"/>
          <w:bCs w:val="0"/>
          <w:color w:val="000000"/>
          <w:sz w:val="21"/>
          <w:szCs w:val="21"/>
          <w:highlight w:val="white"/>
        </w:rPr>
        <w:t>2、</w:t>
      </w:r>
      <w:r>
        <w:rPr>
          <w:rFonts w:hint="eastAsia" w:ascii="宋体" w:hAnsi="宋体" w:eastAsia="宋体" w:cs="宋体"/>
          <w:b w:val="0"/>
          <w:bCs w:val="0"/>
          <w:color w:val="000000"/>
          <w:sz w:val="21"/>
          <w:szCs w:val="21"/>
          <w:highlight w:val="yellow"/>
        </w:rPr>
        <w:t>整车须为国家工业和信息化部《道路机动车辆生产企业及产品》公告中的车型，技术参数和外形结构必须与公告中的车型的技术参数和外形结构一致，并确保符合车辆上牌要求。</w:t>
      </w:r>
      <w:r>
        <w:rPr>
          <w:rFonts w:hint="eastAsia" w:ascii="宋体" w:hAnsi="宋体" w:eastAsia="宋体" w:cs="宋体"/>
          <w:b w:val="0"/>
          <w:bCs w:val="0"/>
          <w:color w:val="000000"/>
          <w:sz w:val="21"/>
          <w:szCs w:val="21"/>
          <w:highlight w:val="white"/>
        </w:rPr>
        <w:t>注：提供所投车辆在《道路机动车辆生产企业及产品》公告内的公告批次或详细数据页面截图扫描件 ，公告批次证明文件以国家工信部网站为准。</w:t>
      </w:r>
    </w:p>
    <w:p>
      <w:pPr>
        <w:pStyle w:val="64"/>
        <w:snapToGrid w:val="0"/>
        <w:spacing w:line="360" w:lineRule="auto"/>
        <w:rPr>
          <w:rFonts w:hint="eastAsia" w:ascii="宋体" w:hAnsi="宋体" w:eastAsia="宋体" w:cs="宋体"/>
          <w:sz w:val="21"/>
          <w:szCs w:val="21"/>
          <w:lang w:val="en-US" w:eastAsia="zh-CN"/>
        </w:rPr>
      </w:pPr>
      <w:r>
        <w:rPr>
          <w:rFonts w:hint="eastAsia" w:ascii="宋体" w:hAnsi="宋体" w:eastAsia="宋体" w:cs="宋体"/>
          <w:b w:val="0"/>
          <w:bCs w:val="0"/>
          <w:color w:val="000000"/>
          <w:sz w:val="21"/>
          <w:szCs w:val="21"/>
          <w:highlight w:val="white"/>
          <w:lang w:val="en-US" w:eastAsia="zh-CN"/>
        </w:rPr>
        <w:t>3、</w:t>
      </w:r>
      <w:r>
        <w:rPr>
          <w:rFonts w:hint="eastAsia" w:ascii="宋体" w:hAnsi="宋体" w:eastAsia="宋体" w:cs="宋体"/>
          <w:b w:val="0"/>
          <w:bCs w:val="0"/>
          <w:color w:val="000000"/>
          <w:sz w:val="21"/>
          <w:szCs w:val="21"/>
          <w:highlight w:val="white"/>
        </w:rPr>
        <w:t>提供《汽车整车产品定型检验报告》扫描件；</w:t>
      </w:r>
    </w:p>
    <w:p>
      <w:pPr>
        <w:spacing w:line="360" w:lineRule="auto"/>
        <w:jc w:val="center"/>
        <w:rPr>
          <w:rFonts w:hint="eastAsia" w:ascii="仿宋" w:hAnsi="仿宋" w:eastAsia="仿宋" w:cs="仿宋"/>
          <w:b/>
          <w:color w:val="auto"/>
          <w:sz w:val="28"/>
          <w:szCs w:val="28"/>
          <w:highlight w:val="none"/>
        </w:rPr>
      </w:pP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采购需求一览表</w:t>
      </w:r>
    </w:p>
    <w:tbl>
      <w:tblPr>
        <w:tblStyle w:val="18"/>
        <w:tblpPr w:leftFromText="180" w:rightFromText="180" w:vertAnchor="text" w:horzAnchor="page" w:tblpX="742" w:tblpY="291"/>
        <w:tblOverlap w:val="never"/>
        <w:tblW w:w="10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276"/>
        <w:gridCol w:w="3767"/>
        <w:gridCol w:w="722"/>
        <w:gridCol w:w="823"/>
        <w:gridCol w:w="933"/>
        <w:gridCol w:w="1267"/>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Align w:val="center"/>
          </w:tcPr>
          <w:p>
            <w:pPr>
              <w:spacing w:line="360" w:lineRule="auto"/>
              <w:jc w:val="center"/>
              <w:rPr>
                <w:rFonts w:hint="eastAsia" w:ascii="仿宋" w:hAnsi="仿宋" w:eastAsia="仿宋" w:cs="仿宋"/>
                <w:b/>
                <w:color w:val="auto"/>
                <w:sz w:val="28"/>
                <w:szCs w:val="28"/>
                <w:highlight w:val="none"/>
                <w:vertAlign w:val="baseline"/>
              </w:rPr>
            </w:pPr>
            <w:r>
              <w:rPr>
                <w:rFonts w:hint="eastAsia" w:ascii="仿宋" w:hAnsi="仿宋" w:eastAsia="仿宋" w:cs="仿宋"/>
                <w:color w:val="auto"/>
                <w:highlight w:val="none"/>
              </w:rPr>
              <w:t>序号</w:t>
            </w:r>
          </w:p>
        </w:tc>
        <w:tc>
          <w:tcPr>
            <w:tcW w:w="1276" w:type="dxa"/>
            <w:vAlign w:val="center"/>
          </w:tcPr>
          <w:p>
            <w:pPr>
              <w:spacing w:line="360" w:lineRule="auto"/>
              <w:jc w:val="center"/>
              <w:rPr>
                <w:rFonts w:hint="eastAsia" w:ascii="仿宋" w:hAnsi="仿宋" w:eastAsia="仿宋" w:cs="仿宋"/>
                <w:b/>
                <w:color w:val="auto"/>
                <w:sz w:val="28"/>
                <w:szCs w:val="28"/>
                <w:highlight w:val="none"/>
                <w:vertAlign w:val="baseline"/>
              </w:rPr>
            </w:pPr>
            <w:r>
              <w:rPr>
                <w:rFonts w:hint="eastAsia" w:ascii="仿宋" w:hAnsi="仿宋" w:eastAsia="仿宋" w:cs="仿宋"/>
                <w:color w:val="auto"/>
                <w:highlight w:val="none"/>
              </w:rPr>
              <w:t>名称</w:t>
            </w:r>
          </w:p>
        </w:tc>
        <w:tc>
          <w:tcPr>
            <w:tcW w:w="3767" w:type="dxa"/>
            <w:vAlign w:val="center"/>
          </w:tcPr>
          <w:p>
            <w:pPr>
              <w:spacing w:line="360" w:lineRule="auto"/>
              <w:jc w:val="center"/>
              <w:rPr>
                <w:rFonts w:hint="eastAsia" w:ascii="仿宋" w:hAnsi="仿宋" w:eastAsia="仿宋" w:cs="仿宋"/>
                <w:b/>
                <w:color w:val="auto"/>
                <w:sz w:val="28"/>
                <w:szCs w:val="28"/>
                <w:highlight w:val="none"/>
                <w:vertAlign w:val="baseline"/>
              </w:rPr>
            </w:pPr>
            <w:r>
              <w:rPr>
                <w:rFonts w:hint="eastAsia" w:ascii="仿宋" w:hAnsi="仿宋" w:eastAsia="仿宋" w:cs="仿宋"/>
                <w:color w:val="auto"/>
                <w:highlight w:val="none"/>
              </w:rPr>
              <w:t>技术参数和规格型号</w:t>
            </w:r>
          </w:p>
        </w:tc>
        <w:tc>
          <w:tcPr>
            <w:tcW w:w="722" w:type="dxa"/>
            <w:vAlign w:val="center"/>
          </w:tcPr>
          <w:p>
            <w:pPr>
              <w:jc w:val="center"/>
              <w:rPr>
                <w:rFonts w:hint="eastAsia" w:ascii="仿宋" w:hAnsi="仿宋" w:eastAsia="仿宋" w:cs="仿宋"/>
                <w:b/>
                <w:color w:val="auto"/>
                <w:sz w:val="28"/>
                <w:szCs w:val="28"/>
                <w:highlight w:val="none"/>
                <w:vertAlign w:val="baseline"/>
              </w:rPr>
            </w:pPr>
            <w:r>
              <w:rPr>
                <w:rFonts w:hint="eastAsia" w:ascii="仿宋" w:hAnsi="仿宋" w:eastAsia="仿宋" w:cs="仿宋"/>
                <w:color w:val="auto"/>
                <w:highlight w:val="none"/>
              </w:rPr>
              <w:t>数量</w:t>
            </w:r>
          </w:p>
        </w:tc>
        <w:tc>
          <w:tcPr>
            <w:tcW w:w="823" w:type="dxa"/>
            <w:vAlign w:val="center"/>
          </w:tcPr>
          <w:p>
            <w:pPr>
              <w:jc w:val="center"/>
              <w:rPr>
                <w:rFonts w:hint="eastAsia" w:ascii="仿宋" w:hAnsi="仿宋" w:eastAsia="仿宋" w:cs="仿宋"/>
                <w:b/>
                <w:color w:val="auto"/>
                <w:sz w:val="28"/>
                <w:szCs w:val="28"/>
                <w:highlight w:val="none"/>
                <w:vertAlign w:val="baseline"/>
              </w:rPr>
            </w:pPr>
            <w:r>
              <w:rPr>
                <w:rFonts w:hint="eastAsia" w:ascii="仿宋" w:hAnsi="仿宋" w:eastAsia="仿宋" w:cs="仿宋"/>
                <w:color w:val="auto"/>
                <w:highlight w:val="none"/>
              </w:rPr>
              <w:t>单位</w:t>
            </w:r>
          </w:p>
        </w:tc>
        <w:tc>
          <w:tcPr>
            <w:tcW w:w="933" w:type="dxa"/>
            <w:vAlign w:val="center"/>
          </w:tcPr>
          <w:p>
            <w:pPr>
              <w:jc w:val="center"/>
              <w:rPr>
                <w:rFonts w:hint="eastAsia" w:ascii="仿宋" w:hAnsi="仿宋" w:eastAsia="仿宋" w:cs="仿宋"/>
                <w:b/>
                <w:color w:val="auto"/>
                <w:sz w:val="28"/>
                <w:szCs w:val="28"/>
                <w:highlight w:val="none"/>
                <w:vertAlign w:val="baseline"/>
              </w:rPr>
            </w:pPr>
            <w:r>
              <w:rPr>
                <w:rFonts w:hint="eastAsia" w:ascii="仿宋" w:hAnsi="仿宋" w:eastAsia="仿宋" w:cs="仿宋"/>
                <w:color w:val="auto"/>
                <w:highlight w:val="none"/>
              </w:rPr>
              <w:t>单价</w:t>
            </w:r>
          </w:p>
        </w:tc>
        <w:tc>
          <w:tcPr>
            <w:tcW w:w="1267" w:type="dxa"/>
            <w:vAlign w:val="center"/>
          </w:tcPr>
          <w:p>
            <w:pPr>
              <w:jc w:val="center"/>
              <w:rPr>
                <w:rFonts w:hint="eastAsia" w:ascii="仿宋" w:hAnsi="仿宋" w:eastAsia="仿宋" w:cs="仿宋"/>
                <w:b/>
                <w:color w:val="auto"/>
                <w:sz w:val="28"/>
                <w:szCs w:val="28"/>
                <w:highlight w:val="none"/>
                <w:vertAlign w:val="baseline"/>
              </w:rPr>
            </w:pPr>
            <w:r>
              <w:rPr>
                <w:rFonts w:hint="eastAsia" w:ascii="仿宋" w:hAnsi="仿宋" w:eastAsia="仿宋" w:cs="仿宋"/>
                <w:color w:val="auto"/>
                <w:highlight w:val="none"/>
              </w:rPr>
              <w:t>合计价</w:t>
            </w:r>
          </w:p>
        </w:tc>
        <w:tc>
          <w:tcPr>
            <w:tcW w:w="811" w:type="dxa"/>
            <w:vAlign w:val="center"/>
          </w:tcPr>
          <w:p>
            <w:pPr>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tcPr>
          <w:p>
            <w:pPr>
              <w:spacing w:line="360" w:lineRule="auto"/>
              <w:jc w:val="center"/>
              <w:rPr>
                <w:rFonts w:hint="eastAsia" w:ascii="仿宋" w:hAnsi="仿宋" w:eastAsia="仿宋" w:cs="仿宋"/>
                <w:b/>
                <w:color w:val="auto"/>
                <w:sz w:val="28"/>
                <w:szCs w:val="28"/>
                <w:highlight w:val="none"/>
                <w:vertAlign w:val="baseline"/>
                <w:lang w:val="en-US" w:eastAsia="zh-CN"/>
              </w:rPr>
            </w:pPr>
            <w:r>
              <w:rPr>
                <w:rFonts w:hint="eastAsia" w:ascii="仿宋" w:hAnsi="仿宋" w:eastAsia="仿宋" w:cs="仿宋"/>
                <w:b/>
                <w:color w:val="auto"/>
                <w:sz w:val="28"/>
                <w:szCs w:val="28"/>
                <w:highlight w:val="none"/>
                <w:vertAlign w:val="baseline"/>
                <w:lang w:val="en-US" w:eastAsia="zh-CN"/>
              </w:rPr>
              <w:t>1</w:t>
            </w:r>
          </w:p>
        </w:tc>
        <w:tc>
          <w:tcPr>
            <w:tcW w:w="1276" w:type="dxa"/>
            <w:vAlign w:val="top"/>
          </w:tcPr>
          <w:p>
            <w:pPr>
              <w:spacing w:line="360" w:lineRule="auto"/>
              <w:jc w:val="center"/>
              <w:rPr>
                <w:rFonts w:hint="eastAsia" w:ascii="仿宋" w:hAnsi="仿宋" w:eastAsia="仿宋" w:cs="仿宋"/>
                <w:b/>
                <w:color w:val="auto"/>
                <w:sz w:val="28"/>
                <w:szCs w:val="28"/>
                <w:highlight w:val="none"/>
                <w:vertAlign w:val="baseline"/>
              </w:rPr>
            </w:pPr>
            <w:r>
              <w:rPr>
                <w:rFonts w:hint="eastAsia" w:ascii="宋体" w:hAnsi="宋体" w:eastAsia="宋体" w:cs="宋体"/>
                <w:color w:val="000000"/>
                <w:highlight w:val="none"/>
              </w:rPr>
              <w:t>大流量排水抢险车</w:t>
            </w:r>
          </w:p>
        </w:tc>
        <w:tc>
          <w:tcPr>
            <w:tcW w:w="3767" w:type="dxa"/>
            <w:vAlign w:val="center"/>
          </w:tcPr>
          <w:p>
            <w:pPr>
              <w:jc w:val="left"/>
              <w:rPr>
                <w:rFonts w:hint="eastAsia" w:ascii="仿宋" w:hAnsi="仿宋" w:eastAsia="仿宋" w:cs="仿宋"/>
                <w:b/>
                <w:color w:val="auto"/>
                <w:sz w:val="28"/>
                <w:szCs w:val="28"/>
                <w:highlight w:val="none"/>
                <w:vertAlign w:val="baseline"/>
              </w:rPr>
            </w:pPr>
            <w:r>
              <w:rPr>
                <w:rFonts w:hint="eastAsia" w:ascii="宋体" w:hAnsi="宋体" w:eastAsia="宋体" w:cs="宋体"/>
                <w:color w:val="auto"/>
                <w:highlight w:val="none"/>
                <w:lang w:val="en-US" w:eastAsia="zh-CN"/>
              </w:rPr>
              <w:t>详见采购需求</w:t>
            </w:r>
          </w:p>
        </w:tc>
        <w:tc>
          <w:tcPr>
            <w:tcW w:w="722" w:type="dxa"/>
            <w:vAlign w:val="top"/>
          </w:tcPr>
          <w:p>
            <w:pPr>
              <w:jc w:val="center"/>
              <w:rPr>
                <w:rFonts w:hint="eastAsia" w:ascii="仿宋" w:hAnsi="仿宋" w:eastAsia="仿宋" w:cs="仿宋"/>
                <w:b/>
                <w:color w:val="auto"/>
                <w:sz w:val="28"/>
                <w:szCs w:val="28"/>
                <w:highlight w:val="none"/>
                <w:vertAlign w:val="baseline"/>
              </w:rPr>
            </w:pPr>
            <w:r>
              <w:rPr>
                <w:rFonts w:hint="eastAsia" w:ascii="宋体" w:hAnsi="宋体" w:eastAsia="宋体" w:cs="宋体"/>
                <w:color w:val="auto"/>
                <w:highlight w:val="none"/>
                <w:lang w:val="en-US" w:eastAsia="zh-CN"/>
              </w:rPr>
              <w:t>2</w:t>
            </w:r>
          </w:p>
        </w:tc>
        <w:tc>
          <w:tcPr>
            <w:tcW w:w="823" w:type="dxa"/>
            <w:vAlign w:val="top"/>
          </w:tcPr>
          <w:p>
            <w:pPr>
              <w:jc w:val="center"/>
              <w:rPr>
                <w:rFonts w:hint="eastAsia" w:ascii="仿宋" w:hAnsi="仿宋" w:eastAsia="仿宋" w:cs="仿宋"/>
                <w:b/>
                <w:color w:val="auto"/>
                <w:sz w:val="28"/>
                <w:szCs w:val="28"/>
                <w:highlight w:val="none"/>
                <w:vertAlign w:val="baseline"/>
              </w:rPr>
            </w:pPr>
            <w:r>
              <w:rPr>
                <w:rFonts w:hint="eastAsia" w:ascii="宋体" w:hAnsi="宋体" w:eastAsia="宋体" w:cs="宋体"/>
                <w:color w:val="auto"/>
                <w:highlight w:val="none"/>
                <w:lang w:val="en-US" w:eastAsia="zh-CN"/>
              </w:rPr>
              <w:t>台</w:t>
            </w:r>
          </w:p>
        </w:tc>
        <w:tc>
          <w:tcPr>
            <w:tcW w:w="933" w:type="dxa"/>
          </w:tcPr>
          <w:p>
            <w:pPr>
              <w:spacing w:line="360" w:lineRule="auto"/>
              <w:jc w:val="center"/>
              <w:rPr>
                <w:rFonts w:hint="eastAsia" w:ascii="仿宋" w:hAnsi="仿宋" w:eastAsia="仿宋" w:cs="仿宋"/>
                <w:b/>
                <w:color w:val="auto"/>
                <w:sz w:val="28"/>
                <w:szCs w:val="28"/>
                <w:highlight w:val="none"/>
                <w:vertAlign w:val="baseline"/>
              </w:rPr>
            </w:pPr>
          </w:p>
        </w:tc>
        <w:tc>
          <w:tcPr>
            <w:tcW w:w="1267" w:type="dxa"/>
          </w:tcPr>
          <w:p>
            <w:pPr>
              <w:spacing w:line="360" w:lineRule="auto"/>
              <w:jc w:val="center"/>
              <w:rPr>
                <w:rFonts w:hint="eastAsia" w:ascii="仿宋" w:hAnsi="仿宋" w:eastAsia="仿宋" w:cs="仿宋"/>
                <w:b/>
                <w:color w:val="auto"/>
                <w:sz w:val="28"/>
                <w:szCs w:val="28"/>
                <w:highlight w:val="none"/>
                <w:vertAlign w:val="baseline"/>
              </w:rPr>
            </w:pPr>
          </w:p>
        </w:tc>
        <w:tc>
          <w:tcPr>
            <w:tcW w:w="811" w:type="dxa"/>
          </w:tcPr>
          <w:p>
            <w:pPr>
              <w:spacing w:line="360" w:lineRule="auto"/>
              <w:jc w:val="center"/>
              <w:rPr>
                <w:rFonts w:hint="eastAsia" w:ascii="仿宋" w:hAnsi="仿宋" w:eastAsia="仿宋" w:cs="仿宋"/>
                <w:b/>
                <w:color w:val="auto"/>
                <w:sz w:val="28"/>
                <w:szCs w:val="28"/>
                <w:highlight w:val="none"/>
                <w:vertAlign w:val="baseline"/>
              </w:rPr>
            </w:pPr>
          </w:p>
        </w:tc>
      </w:tr>
    </w:tbl>
    <w:p>
      <w:pPr>
        <w:pStyle w:val="39"/>
        <w:ind w:firstLine="470" w:firstLineChars="196"/>
        <w:jc w:val="center"/>
        <w:rPr>
          <w:rFonts w:hint="eastAsia" w:ascii="仿宋" w:hAnsi="仿宋" w:eastAsia="仿宋" w:cs="仿宋"/>
          <w:color w:val="auto"/>
          <w:sz w:val="24"/>
          <w:szCs w:val="24"/>
          <w:highlight w:val="none"/>
        </w:rPr>
      </w:pPr>
    </w:p>
    <w:p>
      <w:pPr>
        <w:spacing w:line="360" w:lineRule="auto"/>
        <w:jc w:val="center"/>
        <w:rPr>
          <w:rFonts w:hint="eastAsia" w:ascii="仿宋" w:hAnsi="仿宋" w:eastAsia="仿宋" w:cs="仿宋"/>
          <w:b/>
          <w:color w:val="auto"/>
          <w:sz w:val="28"/>
          <w:szCs w:val="28"/>
          <w:highlight w:val="none"/>
        </w:rPr>
      </w:pPr>
    </w:p>
    <w:p>
      <w:pPr>
        <w:pStyle w:val="39"/>
        <w:rPr>
          <w:rFonts w:hint="eastAsia" w:ascii="仿宋" w:hAnsi="仿宋" w:eastAsia="仿宋" w:cs="仿宋"/>
          <w:color w:val="auto"/>
          <w:sz w:val="28"/>
          <w:szCs w:val="28"/>
          <w:highlight w:val="none"/>
        </w:rPr>
      </w:pP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8"/>
          <w:szCs w:val="28"/>
          <w:highlight w:val="none"/>
        </w:rPr>
        <w:t xml:space="preserve"> </w:t>
      </w:r>
    </w:p>
    <w:p>
      <w:pPr>
        <w:pStyle w:val="39"/>
        <w:jc w:val="center"/>
        <w:rPr>
          <w:rFonts w:hint="eastAsia" w:ascii="仿宋" w:hAnsi="仿宋" w:eastAsia="仿宋" w:cs="仿宋"/>
          <w:color w:val="auto"/>
          <w:sz w:val="24"/>
          <w:szCs w:val="24"/>
          <w:highlight w:val="none"/>
        </w:rPr>
      </w:pPr>
      <w:r>
        <w:rPr>
          <w:rFonts w:hint="eastAsia" w:ascii="仿宋" w:hAnsi="仿宋" w:eastAsia="仿宋" w:cs="仿宋"/>
          <w:color w:val="auto"/>
          <w:sz w:val="28"/>
          <w:szCs w:val="28"/>
          <w:highlight w:val="none"/>
        </w:rPr>
        <w:t xml:space="preserve">  </w:t>
      </w:r>
    </w:p>
    <w:p>
      <w:pPr>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4"/>
        <w:spacing w:line="500" w:lineRule="exact"/>
        <w:jc w:val="center"/>
        <w:rPr>
          <w:rFonts w:hint="eastAsia" w:ascii="仿宋" w:hAnsi="仿宋" w:eastAsia="仿宋" w:cs="仿宋"/>
          <w:color w:val="auto"/>
          <w:highlight w:val="none"/>
        </w:rPr>
      </w:pPr>
      <w:r>
        <w:rPr>
          <w:rFonts w:hint="eastAsia" w:ascii="仿宋" w:hAnsi="仿宋" w:eastAsia="仿宋" w:cs="仿宋"/>
          <w:b/>
          <w:color w:val="auto"/>
          <w:kern w:val="2"/>
          <w:sz w:val="32"/>
          <w:szCs w:val="32"/>
          <w:highlight w:val="none"/>
          <w:lang w:val="en-US" w:eastAsia="zh-CN" w:bidi="ar-SA"/>
        </w:rPr>
        <w:t>第五章  评标办法及评分规则</w:t>
      </w: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综合评分法</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1.评审原则 </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1.1合法、合规原则。</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公平、公正、科学、审慎、择优原则。</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高分优先原则。衡量投标文件满足招标文件规定各项评审标准的程度，折算为综合得分分值，依据每个供应商的综合得分由高到低，依次确定排名顺序。</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2.评审分值分配（满分100分）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2.1商务标（42分）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2.1.1投标报价                    36分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2.1.2供应商业绩                   6分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2.2技术标（46分）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2.2.1投标产品及其技术参数        36分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2.2.2售后服务承诺                10分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2.3信用标（12分）</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3.评审内容（数值计算结果均保留两位小数，第三位四舍五入）</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3.1资格性和符合性审查内容及标准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采购人或代理机构对投标文件的资格性响应作合格性审查, 审查结论分为“合格”与“不合格”。审查不合格的投标文件不再进行后续评审。</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有下列情形之一的，应做无效投标处理：</w:t>
      </w:r>
    </w:p>
    <w:tbl>
      <w:tblPr>
        <w:tblStyle w:val="18"/>
        <w:tblW w:w="9541" w:type="dxa"/>
        <w:tblInd w:w="-8"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961"/>
        <w:gridCol w:w="3809"/>
        <w:gridCol w:w="4771"/>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4770" w:type="dxa"/>
            <w:gridSpan w:val="2"/>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rPr>
              <w:t>评审内容</w:t>
            </w:r>
          </w:p>
        </w:tc>
        <w:tc>
          <w:tcPr>
            <w:tcW w:w="4771"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rPr>
              <w:t>审查标准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43" w:hRule="atLeast"/>
        </w:trPr>
        <w:tc>
          <w:tcPr>
            <w:tcW w:w="961" w:type="dxa"/>
            <w:vMerge w:val="restart"/>
            <w:tcBorders>
              <w:top w:val="outset" w:color="auto" w:sz="6" w:space="0"/>
              <w:left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资格性审查</w:t>
            </w:r>
          </w:p>
        </w:tc>
        <w:tc>
          <w:tcPr>
            <w:tcW w:w="3809" w:type="dxa"/>
            <w:tcBorders>
              <w:top w:val="outset" w:color="auto" w:sz="6" w:space="0"/>
              <w:left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营业执照</w:t>
            </w:r>
          </w:p>
        </w:tc>
        <w:tc>
          <w:tcPr>
            <w:tcW w:w="4771" w:type="dxa"/>
            <w:tcBorders>
              <w:top w:val="outset" w:color="auto" w:sz="6" w:space="0"/>
              <w:left w:val="outset" w:color="auto" w:sz="6" w:space="0"/>
              <w:bottom w:val="outset" w:color="auto" w:sz="6" w:space="0"/>
              <w:right w:val="outset" w:color="auto" w:sz="6" w:space="0"/>
            </w:tcBorders>
            <w:vAlign w:val="center"/>
          </w:tcPr>
          <w:p>
            <w:pPr>
              <w:tabs>
                <w:tab w:val="center" w:pos="2378"/>
              </w:tabs>
              <w:jc w:val="left"/>
              <w:rPr>
                <w:rFonts w:hint="eastAsia" w:ascii="仿宋" w:hAnsi="仿宋" w:eastAsia="仿宋" w:cs="仿宋"/>
                <w:color w:val="auto"/>
                <w:highlight w:val="none"/>
              </w:rPr>
            </w:pPr>
            <w:r>
              <w:rPr>
                <w:rFonts w:hint="eastAsia" w:ascii="仿宋" w:hAnsi="仿宋" w:eastAsia="仿宋" w:cs="仿宋"/>
                <w:color w:val="auto"/>
                <w:highlight w:val="none"/>
              </w:rPr>
              <w:t>未提供合法有效工商营业执照</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continue"/>
            <w:tcBorders>
              <w:left w:val="outset" w:color="auto" w:sz="6" w:space="0"/>
              <w:right w:val="outset" w:color="auto" w:sz="6" w:space="0"/>
            </w:tcBorders>
            <w:vAlign w:val="center"/>
          </w:tcPr>
          <w:p>
            <w:pPr>
              <w:jc w:val="left"/>
              <w:rPr>
                <w:rFonts w:hint="eastAsia" w:ascii="仿宋" w:hAnsi="仿宋" w:eastAsia="仿宋" w:cs="仿宋"/>
                <w:color w:val="auto"/>
                <w:highlight w:val="none"/>
              </w:rPr>
            </w:pPr>
          </w:p>
        </w:tc>
        <w:tc>
          <w:tcPr>
            <w:tcW w:w="3809"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资格条件</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不符合招标文件要求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continue"/>
            <w:tcBorders>
              <w:left w:val="outset" w:color="auto" w:sz="6" w:space="0"/>
              <w:right w:val="outset" w:color="auto" w:sz="6" w:space="0"/>
            </w:tcBorders>
            <w:vAlign w:val="center"/>
          </w:tcPr>
          <w:p>
            <w:pPr>
              <w:jc w:val="left"/>
              <w:rPr>
                <w:rFonts w:hint="eastAsia" w:ascii="仿宋" w:hAnsi="仿宋" w:eastAsia="仿宋" w:cs="仿宋"/>
                <w:color w:val="auto"/>
                <w:highlight w:val="none"/>
              </w:rPr>
            </w:pPr>
          </w:p>
        </w:tc>
        <w:tc>
          <w:tcPr>
            <w:tcW w:w="3809"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法定代表人或授权委托人资格</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不符合招标文件要求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continue"/>
            <w:tcBorders>
              <w:left w:val="outset" w:color="auto" w:sz="6" w:space="0"/>
              <w:right w:val="outset" w:color="auto" w:sz="6" w:space="0"/>
            </w:tcBorders>
            <w:vAlign w:val="center"/>
          </w:tcPr>
          <w:p>
            <w:pPr>
              <w:jc w:val="left"/>
              <w:rPr>
                <w:rFonts w:hint="eastAsia" w:ascii="仿宋" w:hAnsi="仿宋" w:eastAsia="仿宋" w:cs="仿宋"/>
                <w:color w:val="auto"/>
                <w:highlight w:val="none"/>
              </w:rPr>
            </w:pPr>
          </w:p>
        </w:tc>
        <w:tc>
          <w:tcPr>
            <w:tcW w:w="3809"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其他</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供应商被行政监督部门作出禁止投标处罚且在有效期内的，或其他违反法律法规和招标文件规定的情形</w:t>
            </w:r>
          </w:p>
        </w:tc>
      </w:tr>
    </w:tbl>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评标委员会对投标文件的符合性响应作合格性审查, 审查结论分为“合格”与“不合格”。审查不合格的投标文件不再进行后续评审。</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有下列情形之一的，评标委员会应做无效投标处理：</w:t>
      </w:r>
    </w:p>
    <w:tbl>
      <w:tblPr>
        <w:tblStyle w:val="18"/>
        <w:tblW w:w="9541" w:type="dxa"/>
        <w:tblInd w:w="-8"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961"/>
        <w:gridCol w:w="3809"/>
        <w:gridCol w:w="4771"/>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restart"/>
            <w:tcBorders>
              <w:top w:val="outset" w:color="auto" w:sz="6" w:space="0"/>
              <w:left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符合性审查</w:t>
            </w:r>
          </w:p>
        </w:tc>
        <w:tc>
          <w:tcPr>
            <w:tcW w:w="3809"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供应商名称</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与营业执照、资质证书等不一致</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continue"/>
            <w:tcBorders>
              <w:left w:val="outset" w:color="auto" w:sz="6" w:space="0"/>
              <w:right w:val="outset" w:color="auto" w:sz="6" w:space="0"/>
            </w:tcBorders>
            <w:vAlign w:val="center"/>
          </w:tcPr>
          <w:p>
            <w:pPr>
              <w:jc w:val="left"/>
              <w:rPr>
                <w:rFonts w:hint="eastAsia" w:ascii="仿宋" w:hAnsi="仿宋" w:eastAsia="仿宋" w:cs="仿宋"/>
                <w:color w:val="auto"/>
                <w:highlight w:val="none"/>
              </w:rPr>
            </w:pPr>
          </w:p>
        </w:tc>
        <w:tc>
          <w:tcPr>
            <w:tcW w:w="3809"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投标文件签署</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未按招标文件要求加盖公章且无法定代表人或授权委托人签字（签章）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continue"/>
            <w:tcBorders>
              <w:left w:val="outset" w:color="auto" w:sz="6" w:space="0"/>
              <w:right w:val="outset" w:color="auto" w:sz="6" w:space="0"/>
            </w:tcBorders>
            <w:vAlign w:val="center"/>
          </w:tcPr>
          <w:p>
            <w:pPr>
              <w:jc w:val="left"/>
              <w:rPr>
                <w:rFonts w:hint="eastAsia" w:ascii="仿宋" w:hAnsi="仿宋" w:eastAsia="仿宋" w:cs="仿宋"/>
                <w:color w:val="auto"/>
                <w:highlight w:val="none"/>
              </w:rPr>
            </w:pPr>
          </w:p>
        </w:tc>
        <w:tc>
          <w:tcPr>
            <w:tcW w:w="3809"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投标文件格式</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未按规定格式填写，实质性内容不全或关键字迹模糊、无法辨认</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continue"/>
            <w:tcBorders>
              <w:left w:val="outset" w:color="auto" w:sz="6" w:space="0"/>
              <w:right w:val="outset" w:color="auto" w:sz="6" w:space="0"/>
            </w:tcBorders>
            <w:vAlign w:val="center"/>
          </w:tcPr>
          <w:p>
            <w:pPr>
              <w:jc w:val="left"/>
              <w:rPr>
                <w:rFonts w:hint="eastAsia" w:ascii="仿宋" w:hAnsi="仿宋" w:eastAsia="仿宋" w:cs="仿宋"/>
                <w:color w:val="auto"/>
                <w:highlight w:val="none"/>
              </w:rPr>
            </w:pPr>
          </w:p>
        </w:tc>
        <w:tc>
          <w:tcPr>
            <w:tcW w:w="3809"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投标方案及报价</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报价超过招标文件中规定的预算金额或者最高限价；递交两份或多份内容不同的投标文件，或在一份投标文件中对同一招标项目有两个或多个报价，且未声明哪一个有效</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continue"/>
            <w:tcBorders>
              <w:left w:val="outset" w:color="auto" w:sz="6" w:space="0"/>
              <w:right w:val="outset" w:color="auto" w:sz="6" w:space="0"/>
            </w:tcBorders>
            <w:vAlign w:val="center"/>
          </w:tcPr>
          <w:p>
            <w:pPr>
              <w:jc w:val="left"/>
              <w:rPr>
                <w:rFonts w:hint="eastAsia" w:ascii="仿宋" w:hAnsi="仿宋" w:eastAsia="仿宋" w:cs="仿宋"/>
                <w:color w:val="auto"/>
                <w:highlight w:val="none"/>
              </w:rPr>
            </w:pPr>
          </w:p>
        </w:tc>
        <w:tc>
          <w:tcPr>
            <w:tcW w:w="3809"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投标有效期</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不符合招标文件的要求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continue"/>
            <w:tcBorders>
              <w:left w:val="outset" w:color="auto" w:sz="6" w:space="0"/>
              <w:right w:val="outset" w:color="auto" w:sz="6" w:space="0"/>
            </w:tcBorders>
            <w:vAlign w:val="center"/>
          </w:tcPr>
          <w:p>
            <w:pPr>
              <w:jc w:val="left"/>
              <w:rPr>
                <w:rFonts w:hint="eastAsia" w:ascii="仿宋" w:hAnsi="仿宋" w:eastAsia="仿宋" w:cs="仿宋"/>
                <w:color w:val="auto"/>
                <w:highlight w:val="none"/>
              </w:rPr>
            </w:pPr>
          </w:p>
        </w:tc>
        <w:tc>
          <w:tcPr>
            <w:tcW w:w="3809"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交货时间、地点、质保期或付款方式</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不符合招标文件的要求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258" w:hRule="atLeast"/>
        </w:trPr>
        <w:tc>
          <w:tcPr>
            <w:tcW w:w="961" w:type="dxa"/>
            <w:vMerge w:val="continue"/>
            <w:tcBorders>
              <w:left w:val="outset" w:color="auto" w:sz="6" w:space="0"/>
              <w:right w:val="outset" w:color="auto" w:sz="6" w:space="0"/>
            </w:tcBorders>
            <w:vAlign w:val="center"/>
          </w:tcPr>
          <w:p>
            <w:pPr>
              <w:jc w:val="left"/>
              <w:rPr>
                <w:rFonts w:hint="eastAsia" w:ascii="仿宋" w:hAnsi="仿宋" w:eastAsia="仿宋" w:cs="仿宋"/>
                <w:color w:val="auto"/>
                <w:highlight w:val="none"/>
              </w:rPr>
            </w:pPr>
          </w:p>
        </w:tc>
        <w:tc>
          <w:tcPr>
            <w:tcW w:w="3809"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投标文件创建标识码</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不同供应商投标文件创建标识码相同的</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continue"/>
            <w:tcBorders>
              <w:left w:val="outset" w:color="auto" w:sz="6" w:space="0"/>
              <w:right w:val="outset" w:color="auto" w:sz="6" w:space="0"/>
            </w:tcBorders>
            <w:vAlign w:val="center"/>
          </w:tcPr>
          <w:p>
            <w:pPr>
              <w:jc w:val="left"/>
              <w:rPr>
                <w:rFonts w:hint="eastAsia" w:ascii="仿宋" w:hAnsi="仿宋" w:eastAsia="仿宋" w:cs="仿宋"/>
                <w:color w:val="auto"/>
                <w:highlight w:val="none"/>
              </w:rPr>
            </w:pPr>
          </w:p>
        </w:tc>
        <w:tc>
          <w:tcPr>
            <w:tcW w:w="3809"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投标文件的机器识别码</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不同供应商的机器识别码相同</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continue"/>
            <w:tcBorders>
              <w:left w:val="outset" w:color="auto" w:sz="6" w:space="0"/>
              <w:right w:val="outset" w:color="auto" w:sz="6" w:space="0"/>
            </w:tcBorders>
            <w:vAlign w:val="center"/>
          </w:tcPr>
          <w:p>
            <w:pPr>
              <w:jc w:val="left"/>
              <w:rPr>
                <w:rFonts w:hint="eastAsia" w:ascii="仿宋" w:hAnsi="仿宋" w:eastAsia="仿宋" w:cs="仿宋"/>
                <w:color w:val="auto"/>
                <w:highlight w:val="none"/>
              </w:rPr>
            </w:pPr>
          </w:p>
        </w:tc>
        <w:tc>
          <w:tcPr>
            <w:tcW w:w="3809"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其他实质性响应</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不符合招标文件的要求</w:t>
            </w:r>
          </w:p>
        </w:tc>
      </w:tr>
    </w:tbl>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3.2商务标评审内容及标准（  </w:t>
      </w:r>
      <w:r>
        <w:rPr>
          <w:rFonts w:hint="eastAsia" w:ascii="仿宋" w:hAnsi="仿宋" w:eastAsia="仿宋" w:cs="仿宋"/>
          <w:color w:val="auto"/>
          <w:sz w:val="24"/>
          <w:szCs w:val="24"/>
          <w:highlight w:val="none"/>
          <w:lang w:val="en-US" w:eastAsia="zh-CN"/>
        </w:rPr>
        <w:t>42</w:t>
      </w:r>
      <w:r>
        <w:rPr>
          <w:rFonts w:hint="eastAsia" w:ascii="仿宋" w:hAnsi="仿宋" w:eastAsia="仿宋" w:cs="仿宋"/>
          <w:color w:val="auto"/>
          <w:sz w:val="24"/>
          <w:szCs w:val="24"/>
          <w:highlight w:val="none"/>
        </w:rPr>
        <w:t xml:space="preserve">   分）</w:t>
      </w:r>
    </w:p>
    <w:tbl>
      <w:tblPr>
        <w:tblStyle w:val="18"/>
        <w:tblW w:w="0" w:type="auto"/>
        <w:tblInd w:w="-8"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3816"/>
        <w:gridCol w:w="954"/>
        <w:gridCol w:w="4771"/>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816"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rPr>
              <w:t>评审项目</w:t>
            </w:r>
          </w:p>
        </w:tc>
        <w:tc>
          <w:tcPr>
            <w:tcW w:w="954"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rPr>
              <w:t>分值</w:t>
            </w:r>
          </w:p>
        </w:tc>
        <w:tc>
          <w:tcPr>
            <w:tcW w:w="4771"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rPr>
              <w:t>依据</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816"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投标报价</w:t>
            </w:r>
          </w:p>
        </w:tc>
        <w:tc>
          <w:tcPr>
            <w:tcW w:w="954"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36</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分</w:t>
            </w:r>
          </w:p>
        </w:tc>
        <w:tc>
          <w:tcPr>
            <w:tcW w:w="4771" w:type="dxa"/>
            <w:tcBorders>
              <w:top w:val="outset" w:color="auto" w:sz="6" w:space="0"/>
              <w:left w:val="outset" w:color="auto" w:sz="6" w:space="0"/>
              <w:bottom w:val="outset" w:color="auto" w:sz="6" w:space="0"/>
              <w:right w:val="outset" w:color="auto" w:sz="6" w:space="0"/>
            </w:tcBorders>
            <w:vAlign w:val="center"/>
          </w:tcPr>
          <w:p>
            <w:pPr>
              <w:pStyle w:val="8"/>
              <w:rPr>
                <w:rFonts w:hint="eastAsia" w:ascii="仿宋" w:hAnsi="仿宋" w:eastAsia="仿宋" w:cs="仿宋"/>
                <w:color w:val="auto"/>
                <w:highlight w:val="none"/>
              </w:rPr>
            </w:pPr>
            <w:r>
              <w:rPr>
                <w:rFonts w:hint="eastAsia" w:ascii="仿宋" w:hAnsi="仿宋" w:eastAsia="仿宋" w:cs="仿宋"/>
                <w:color w:val="auto"/>
                <w:highlight w:val="none"/>
              </w:rPr>
              <w:t>本项评审步骤：</w:t>
            </w:r>
          </w:p>
          <w:p>
            <w:pPr>
              <w:pStyle w:val="8"/>
              <w:rPr>
                <w:rFonts w:hint="eastAsia" w:ascii="仿宋" w:hAnsi="仿宋" w:eastAsia="仿宋" w:cs="仿宋"/>
                <w:color w:val="auto"/>
                <w:highlight w:val="none"/>
              </w:rPr>
            </w:pPr>
            <w:r>
              <w:rPr>
                <w:rFonts w:hint="eastAsia" w:ascii="仿宋" w:hAnsi="仿宋" w:eastAsia="仿宋" w:cs="仿宋"/>
                <w:color w:val="auto"/>
                <w:highlight w:val="none"/>
              </w:rPr>
              <w:t>1.评标价的确认：评标委员会对所有实质性响应招标文件要求的投标报价进行核查、调整，包括根据本招标文件规定的政府采购政策进行的价格扣除。</w:t>
            </w:r>
          </w:p>
          <w:p>
            <w:pPr>
              <w:pStyle w:val="8"/>
              <w:rPr>
                <w:rFonts w:hint="eastAsia" w:ascii="仿宋" w:hAnsi="仿宋" w:eastAsia="仿宋" w:cs="仿宋"/>
                <w:color w:val="auto"/>
                <w:highlight w:val="none"/>
              </w:rPr>
            </w:pPr>
            <w:r>
              <w:rPr>
                <w:rFonts w:hint="eastAsia" w:ascii="仿宋" w:hAnsi="仿宋" w:eastAsia="仿宋" w:cs="仿宋"/>
                <w:color w:val="auto"/>
                <w:highlight w:val="none"/>
              </w:rPr>
              <w:t>1.1价格调整：如供应商对招标文件的内容，特别是对招标范围的理解发生误差，有子项漏报的（即该供应商投标报价为漏项报价），经评标委员会评审，按漏项子项和相关标准（有规定标准的按规定标准，无规定标准的按相应的本次招标中最高的单价报价）计算出该供应商的投标调整价；</w:t>
            </w:r>
          </w:p>
          <w:p>
            <w:pPr>
              <w:pStyle w:val="8"/>
              <w:rPr>
                <w:rFonts w:hint="eastAsia" w:ascii="仿宋" w:hAnsi="仿宋" w:eastAsia="仿宋" w:cs="仿宋"/>
                <w:color w:val="auto"/>
                <w:highlight w:val="none"/>
              </w:rPr>
            </w:pPr>
            <w:r>
              <w:rPr>
                <w:rFonts w:hint="eastAsia" w:ascii="仿宋" w:hAnsi="仿宋" w:eastAsia="仿宋" w:cs="仿宋"/>
                <w:color w:val="auto"/>
                <w:highlight w:val="none"/>
              </w:rPr>
              <w:t>1.2价格扣除：供应商的投标报价（如有漏项报价，则为投标调整价）按招标文件规定的价格扣除办法计算其评标价。</w:t>
            </w:r>
          </w:p>
          <w:p>
            <w:pPr>
              <w:pStyle w:val="8"/>
              <w:rPr>
                <w:rFonts w:hint="eastAsia" w:ascii="仿宋" w:hAnsi="仿宋" w:eastAsia="仿宋" w:cs="仿宋"/>
                <w:color w:val="auto"/>
                <w:highlight w:val="none"/>
              </w:rPr>
            </w:pPr>
            <w:r>
              <w:rPr>
                <w:rFonts w:hint="eastAsia" w:ascii="仿宋" w:hAnsi="仿宋" w:eastAsia="仿宋" w:cs="仿宋"/>
                <w:color w:val="auto"/>
                <w:highlight w:val="none"/>
              </w:rPr>
              <w:t>2.评标基准价：评标价最低的为评标基准价。</w:t>
            </w:r>
          </w:p>
          <w:p>
            <w:pPr>
              <w:pStyle w:val="8"/>
              <w:rPr>
                <w:rFonts w:hint="eastAsia" w:ascii="仿宋" w:hAnsi="仿宋" w:eastAsia="仿宋" w:cs="仿宋"/>
                <w:color w:val="auto"/>
                <w:highlight w:val="none"/>
              </w:rPr>
            </w:pPr>
            <w:r>
              <w:rPr>
                <w:rFonts w:hint="eastAsia" w:ascii="仿宋" w:hAnsi="仿宋" w:eastAsia="仿宋" w:cs="仿宋"/>
                <w:color w:val="auto"/>
                <w:highlight w:val="none"/>
              </w:rPr>
              <w:t>3.投标报价得分计算：评标价为评标基准价的得满分</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分。其他供应商的投标报价得分统一按下列公式计算：投标报价得分=（评标基准价/评标价）*</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single"/>
                <w:lang w:val="en-US" w:eastAsia="zh-CN"/>
              </w:rPr>
              <w:t>36</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；（保留小数点后两位，第三位四舍五入）</w:t>
            </w:r>
          </w:p>
          <w:p>
            <w:pPr>
              <w:pStyle w:val="8"/>
              <w:rPr>
                <w:rFonts w:hint="eastAsia" w:ascii="仿宋" w:hAnsi="仿宋" w:eastAsia="仿宋" w:cs="仿宋"/>
                <w:color w:val="auto"/>
                <w:highlight w:val="none"/>
              </w:rPr>
            </w:pPr>
            <w:r>
              <w:rPr>
                <w:rFonts w:hint="eastAsia" w:ascii="仿宋" w:hAnsi="仿宋" w:eastAsia="仿宋" w:cs="仿宋"/>
                <w:color w:val="auto"/>
                <w:highlight w:val="none"/>
              </w:rPr>
              <w:t>4.有漏项报价的供应商，在按上述公式计算出其投标报价得分基础上，其漏项报价每低于投标调整价1%，再扣1分，得出该供应商的投标报价最终得分。若其最终中标，则中标价格为其投标报价，供应商应无异议，否则视该投标为无效投标。</w:t>
            </w:r>
          </w:p>
          <w:p>
            <w:pPr>
              <w:jc w:val="left"/>
              <w:rPr>
                <w:rFonts w:hint="eastAsia" w:ascii="仿宋" w:hAnsi="仿宋" w:eastAsia="仿宋" w:cs="仿宋"/>
                <w:color w:val="auto"/>
                <w:highlight w:val="none"/>
              </w:rPr>
            </w:pPr>
            <w:r>
              <w:rPr>
                <w:rFonts w:hint="eastAsia" w:ascii="仿宋" w:hAnsi="仿宋" w:eastAsia="仿宋" w:cs="仿宋"/>
                <w:color w:val="auto"/>
                <w:highlight w:val="none"/>
              </w:rPr>
              <w:t>注：评标价（含一个或同时多个）低于其他有效供应商的评标价平均值50%时，评标委员会应当要求该供应商作出书面说明并提供相关证明材料。该供应商不能合理说明或不能提供相关证明材料的，视作该投标为无效投标。</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816"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供应商业绩</w:t>
            </w:r>
          </w:p>
        </w:tc>
        <w:tc>
          <w:tcPr>
            <w:tcW w:w="954"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6.00</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 xml:space="preserve">业绩合同签订时间应自开标之日起上推  </w:t>
            </w:r>
            <w:r>
              <w:rPr>
                <w:rFonts w:hint="eastAsia" w:ascii="仿宋" w:hAnsi="仿宋" w:eastAsia="仿宋" w:cs="仿宋"/>
                <w:color w:val="auto"/>
                <w:highlight w:val="none"/>
                <w:lang w:val="en-US" w:eastAsia="zh-CN"/>
              </w:rPr>
              <w:t>5</w:t>
            </w:r>
            <w:r>
              <w:rPr>
                <w:rFonts w:hint="eastAsia" w:ascii="仿宋" w:hAnsi="仿宋" w:eastAsia="仿宋" w:cs="仿宋"/>
                <w:color w:val="auto"/>
                <w:highlight w:val="none"/>
              </w:rPr>
              <w:t xml:space="preserve">  年内，签订同类产品供货合同的，有一项加2分，加满6分为止。（投标文件中须提供业绩合同，签订时间以业绩合同为准，复印件或扫描件应能辨识买卖双方公章、签订时间，并加盖供应商公章；如业绩合同不能体现以上全部内容，可提供业绩合同甲方加盖公章的证明复印件或扫描件。否则，不得分）</w:t>
            </w:r>
          </w:p>
        </w:tc>
      </w:tr>
    </w:tbl>
    <w:p>
      <w:pPr>
        <w:spacing w:line="360" w:lineRule="auto"/>
        <w:ind w:firstLine="480" w:firstLineChars="200"/>
        <w:rPr>
          <w:rFonts w:hint="eastAsia" w:ascii="仿宋" w:hAnsi="仿宋" w:eastAsia="仿宋" w:cs="仿宋"/>
          <w:color w:val="auto"/>
          <w:sz w:val="24"/>
          <w:szCs w:val="24"/>
          <w:highlight w:val="none"/>
        </w:rPr>
      </w:pPr>
    </w:p>
    <w:tbl>
      <w:tblPr>
        <w:tblStyle w:val="19"/>
        <w:tblpPr w:leftFromText="180" w:rightFromText="180" w:vertAnchor="text" w:horzAnchor="page" w:tblpX="1502" w:tblpY="386"/>
        <w:tblOverlap w:val="never"/>
        <w:tblW w:w="9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8" w:hRule="atLeast"/>
        </w:trPr>
        <w:tc>
          <w:tcPr>
            <w:tcW w:w="9480" w:type="dxa"/>
            <w:noWrap w:val="0"/>
            <w:vAlign w:val="top"/>
          </w:tcPr>
          <w:p>
            <w:pPr>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eastAsia="zh-CN"/>
              </w:rPr>
              <w:t>注：</w:t>
            </w:r>
            <w:r>
              <w:rPr>
                <w:rFonts w:hint="eastAsia" w:ascii="仿宋" w:hAnsi="仿宋" w:eastAsia="仿宋" w:cs="仿宋"/>
                <w:color w:val="auto"/>
                <w:sz w:val="22"/>
                <w:szCs w:val="22"/>
                <w:highlight w:val="none"/>
              </w:rPr>
              <w:t>投标报价有算术错误及其他错误的，评标委员会按以下原则要求投标人对投标报价进行修正，并要求投标人书面澄清确认。投标人拒不澄清确认的，评标委员会应当否决其投标：</w:t>
            </w:r>
          </w:p>
          <w:p>
            <w:pPr>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lang w:val="en-US" w:eastAsia="zh-CN"/>
              </w:rPr>
              <w:t>1</w:t>
            </w: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rPr>
              <w:t>投标文件中的大写金额与小写金额不一致的，以大写金额为准；</w:t>
            </w:r>
          </w:p>
          <w:p>
            <w:pPr>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lang w:val="en-US" w:eastAsia="zh-CN"/>
              </w:rPr>
              <w:t>2</w:t>
            </w: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rPr>
              <w:t>总价金额与单价金额不一致的，以单价金额为准，但单价金额小数点有明显错误的除外；</w:t>
            </w:r>
          </w:p>
          <w:p>
            <w:pPr>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lang w:val="en-US" w:eastAsia="zh-CN"/>
              </w:rPr>
              <w:t>3</w:t>
            </w: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rPr>
              <w:t>投标报价为各分项报价金额之和，投标报价与分项报价的合价不一致的，应以各分项合价累计数为准，修正投标报价；</w:t>
            </w:r>
          </w:p>
          <w:p>
            <w:pPr>
              <w:spacing w:line="360" w:lineRule="auto"/>
              <w:ind w:firstLine="440" w:firstLineChars="200"/>
              <w:rPr>
                <w:rFonts w:hint="eastAsia"/>
                <w:color w:val="000000"/>
                <w:spacing w:val="-8"/>
                <w:sz w:val="21"/>
                <w:highlight w:val="none"/>
                <w:vertAlign w:val="baseline"/>
                <w:lang w:eastAsia="zh-CN"/>
              </w:rPr>
            </w:pP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lang w:val="en-US" w:eastAsia="zh-CN"/>
              </w:rPr>
              <w:t>4</w:t>
            </w: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rPr>
              <w:t>如果分项报价中存在缺漏项，则视为缺漏项价格已包含在其他分项报价之中。</w:t>
            </w:r>
          </w:p>
        </w:tc>
      </w:tr>
    </w:tbl>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3.3技术标评审内容及标准（ </w:t>
      </w:r>
      <w:r>
        <w:rPr>
          <w:rFonts w:hint="eastAsia" w:ascii="仿宋" w:hAnsi="仿宋" w:eastAsia="仿宋" w:cs="仿宋"/>
          <w:color w:val="auto"/>
          <w:sz w:val="24"/>
          <w:szCs w:val="24"/>
          <w:highlight w:val="none"/>
          <w:lang w:val="en-US" w:eastAsia="zh-CN"/>
        </w:rPr>
        <w:t>46</w:t>
      </w:r>
      <w:r>
        <w:rPr>
          <w:rFonts w:hint="eastAsia" w:ascii="仿宋" w:hAnsi="仿宋" w:eastAsia="仿宋" w:cs="仿宋"/>
          <w:color w:val="auto"/>
          <w:sz w:val="24"/>
          <w:szCs w:val="24"/>
          <w:highlight w:val="none"/>
        </w:rPr>
        <w:t xml:space="preserve">  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以下评审内容及标准仅供参考，采购人和代理机构可自行调整或修改以下评审内容。</w:t>
      </w:r>
    </w:p>
    <w:tbl>
      <w:tblPr>
        <w:tblStyle w:val="19"/>
        <w:tblW w:w="96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334"/>
        <w:gridCol w:w="967"/>
        <w:gridCol w:w="708"/>
        <w:gridCol w:w="4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038" w:type="dxa"/>
            <w:gridSpan w:val="2"/>
            <w:noWrap w:val="0"/>
            <w:vAlign w:val="bottom"/>
          </w:tcPr>
          <w:p>
            <w:pPr>
              <w:spacing w:line="360" w:lineRule="auto"/>
              <w:jc w:val="center"/>
              <w:rPr>
                <w:rFonts w:hint="eastAsia" w:ascii="仿宋" w:hAnsi="仿宋" w:eastAsia="仿宋" w:cs="仿宋"/>
                <w:sz w:val="22"/>
                <w:szCs w:val="22"/>
              </w:rPr>
            </w:pPr>
            <w:r>
              <w:rPr>
                <w:rFonts w:hint="eastAsia" w:ascii="仿宋" w:hAnsi="仿宋" w:eastAsia="仿宋" w:cs="仿宋"/>
                <w:sz w:val="22"/>
                <w:szCs w:val="22"/>
              </w:rPr>
              <w:t>评审项目</w:t>
            </w:r>
          </w:p>
        </w:tc>
        <w:tc>
          <w:tcPr>
            <w:tcW w:w="1675" w:type="dxa"/>
            <w:gridSpan w:val="2"/>
            <w:noWrap w:val="0"/>
            <w:vAlign w:val="bottom"/>
          </w:tcPr>
          <w:p>
            <w:pPr>
              <w:jc w:val="center"/>
              <w:rPr>
                <w:rFonts w:hint="eastAsia" w:ascii="仿宋" w:hAnsi="仿宋" w:eastAsia="仿宋" w:cs="仿宋"/>
                <w:sz w:val="22"/>
                <w:szCs w:val="22"/>
              </w:rPr>
            </w:pPr>
            <w:r>
              <w:rPr>
                <w:rFonts w:hint="eastAsia" w:ascii="仿宋" w:hAnsi="仿宋" w:eastAsia="仿宋" w:cs="仿宋"/>
                <w:sz w:val="22"/>
                <w:szCs w:val="22"/>
              </w:rPr>
              <w:t>分值</w:t>
            </w:r>
          </w:p>
        </w:tc>
        <w:tc>
          <w:tcPr>
            <w:tcW w:w="4892" w:type="dxa"/>
            <w:noWrap w:val="0"/>
            <w:vAlign w:val="bottom"/>
          </w:tcPr>
          <w:p>
            <w:pPr>
              <w:jc w:val="center"/>
              <w:rPr>
                <w:rFonts w:hint="eastAsia" w:ascii="仿宋" w:hAnsi="仿宋" w:eastAsia="仿宋" w:cs="仿宋"/>
                <w:sz w:val="22"/>
                <w:szCs w:val="22"/>
              </w:rPr>
            </w:pPr>
            <w:r>
              <w:rPr>
                <w:rFonts w:hint="eastAsia" w:ascii="仿宋" w:hAnsi="仿宋" w:eastAsia="仿宋" w:cs="仿宋"/>
                <w:sz w:val="22"/>
                <w:szCs w:val="22"/>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restart"/>
            <w:noWrap w:val="0"/>
            <w:vAlign w:val="center"/>
          </w:tcPr>
          <w:p>
            <w:pPr>
              <w:spacing w:line="360" w:lineRule="auto"/>
              <w:jc w:val="center"/>
              <w:rPr>
                <w:rFonts w:hint="eastAsia" w:ascii="仿宋" w:hAnsi="仿宋" w:eastAsia="仿宋" w:cs="仿宋"/>
                <w:sz w:val="22"/>
                <w:szCs w:val="22"/>
              </w:rPr>
            </w:pPr>
            <w:r>
              <w:rPr>
                <w:rFonts w:hint="eastAsia" w:ascii="仿宋" w:hAnsi="仿宋" w:eastAsia="仿宋" w:cs="仿宋"/>
                <w:sz w:val="22"/>
                <w:szCs w:val="22"/>
              </w:rPr>
              <w:t>投标产品及其技术参数（满分36分）</w:t>
            </w:r>
            <w:r>
              <w:rPr>
                <w:rFonts w:hint="eastAsia" w:ascii="仿宋" w:hAnsi="仿宋" w:eastAsia="仿宋" w:cs="仿宋"/>
                <w:sz w:val="22"/>
                <w:szCs w:val="22"/>
              </w:rPr>
              <w:br w:type="textWrapping"/>
            </w:r>
            <w:r>
              <w:rPr>
                <w:rFonts w:hint="eastAsia" w:ascii="仿宋" w:hAnsi="仿宋" w:eastAsia="仿宋" w:cs="仿宋"/>
                <w:sz w:val="22"/>
                <w:szCs w:val="22"/>
              </w:rPr>
              <w:t>注意事项：货物参数、性能未实质性响应招标文件要求的，视该投标为无效投标。</w:t>
            </w:r>
          </w:p>
        </w:tc>
        <w:tc>
          <w:tcPr>
            <w:tcW w:w="1334" w:type="dxa"/>
            <w:vMerge w:val="restart"/>
            <w:noWrap w:val="0"/>
            <w:vAlign w:val="center"/>
          </w:tcPr>
          <w:p>
            <w:pPr>
              <w:spacing w:line="360" w:lineRule="auto"/>
              <w:jc w:val="center"/>
              <w:rPr>
                <w:rFonts w:hint="eastAsia" w:ascii="仿宋" w:hAnsi="仿宋" w:eastAsia="仿宋" w:cs="仿宋"/>
                <w:sz w:val="22"/>
                <w:szCs w:val="22"/>
              </w:rPr>
            </w:pPr>
            <w:r>
              <w:rPr>
                <w:rFonts w:hint="eastAsia" w:ascii="仿宋" w:hAnsi="仿宋" w:eastAsia="仿宋" w:cs="仿宋"/>
                <w:sz w:val="22"/>
                <w:szCs w:val="22"/>
              </w:rPr>
              <w:t>投标产品对招标文件的响应程度（满分15分）</w:t>
            </w:r>
          </w:p>
        </w:tc>
        <w:tc>
          <w:tcPr>
            <w:tcW w:w="967" w:type="dxa"/>
            <w:noWrap w:val="0"/>
            <w:vAlign w:val="center"/>
          </w:tcPr>
          <w:p>
            <w:pPr>
              <w:rPr>
                <w:rFonts w:hint="eastAsia" w:ascii="仿宋" w:hAnsi="仿宋" w:eastAsia="仿宋" w:cs="仿宋"/>
                <w:sz w:val="22"/>
                <w:szCs w:val="22"/>
              </w:rPr>
            </w:pPr>
            <w:r>
              <w:rPr>
                <w:rFonts w:hint="eastAsia" w:ascii="仿宋" w:hAnsi="仿宋" w:eastAsia="仿宋" w:cs="仿宋"/>
                <w:sz w:val="22"/>
                <w:szCs w:val="22"/>
              </w:rPr>
              <w:t>重要技术参数</w:t>
            </w:r>
          </w:p>
        </w:tc>
        <w:tc>
          <w:tcPr>
            <w:tcW w:w="708" w:type="dxa"/>
            <w:noWrap w:val="0"/>
            <w:vAlign w:val="center"/>
          </w:tcPr>
          <w:p>
            <w:pPr>
              <w:rPr>
                <w:rFonts w:hint="eastAsia" w:ascii="仿宋" w:hAnsi="仿宋" w:eastAsia="仿宋" w:cs="仿宋"/>
                <w:sz w:val="22"/>
                <w:szCs w:val="22"/>
              </w:rPr>
            </w:pPr>
            <w:r>
              <w:rPr>
                <w:rFonts w:hint="eastAsia" w:ascii="仿宋" w:hAnsi="仿宋" w:eastAsia="仿宋" w:cs="仿宋"/>
                <w:sz w:val="22"/>
                <w:szCs w:val="22"/>
                <w:lang w:val="en-US" w:eastAsia="zh-CN"/>
              </w:rPr>
              <w:t>10</w:t>
            </w:r>
            <w:r>
              <w:rPr>
                <w:rFonts w:hint="eastAsia" w:ascii="仿宋" w:hAnsi="仿宋" w:eastAsia="仿宋" w:cs="仿宋"/>
                <w:sz w:val="22"/>
                <w:szCs w:val="22"/>
              </w:rPr>
              <w:t>.00</w:t>
            </w:r>
          </w:p>
        </w:tc>
        <w:tc>
          <w:tcPr>
            <w:tcW w:w="4892" w:type="dxa"/>
            <w:noWrap w:val="0"/>
            <w:vAlign w:val="center"/>
          </w:tcPr>
          <w:p>
            <w:pPr>
              <w:pStyle w:val="11"/>
              <w:ind w:left="0" w:leftChars="0"/>
              <w:rPr>
                <w:rFonts w:hint="eastAsia" w:ascii="仿宋" w:hAnsi="仿宋" w:eastAsia="仿宋" w:cs="仿宋"/>
                <w:sz w:val="22"/>
                <w:szCs w:val="22"/>
              </w:rPr>
            </w:pPr>
            <w:r>
              <w:rPr>
                <w:rFonts w:hint="eastAsia" w:ascii="仿宋" w:hAnsi="仿宋" w:eastAsia="仿宋" w:cs="仿宋"/>
                <w:sz w:val="22"/>
                <w:szCs w:val="22"/>
              </w:rPr>
              <w:t>根据投标文件中重要参数（标记“◆”的技术参数）的型号规格、实现功能、外观、材质、制作工艺、使用寿命、安全性、可靠性等各项性能指标与招标文件要求的响应程度和偏离情况进行评分。</w:t>
            </w:r>
          </w:p>
          <w:p>
            <w:pPr>
              <w:pStyle w:val="11"/>
              <w:ind w:left="0" w:leftChars="0"/>
              <w:rPr>
                <w:rFonts w:hint="eastAsia" w:ascii="仿宋" w:hAnsi="仿宋" w:eastAsia="仿宋" w:cs="仿宋"/>
                <w:sz w:val="22"/>
                <w:szCs w:val="22"/>
              </w:rPr>
            </w:pPr>
            <w:r>
              <w:rPr>
                <w:rFonts w:hint="eastAsia" w:ascii="仿宋" w:hAnsi="仿宋" w:eastAsia="仿宋" w:cs="仿宋"/>
                <w:sz w:val="22"/>
                <w:szCs w:val="22"/>
              </w:rPr>
              <w:t>各项性能指标均有技术支持资料且全部满足招标文件要求的，得</w:t>
            </w:r>
            <w:r>
              <w:rPr>
                <w:rFonts w:hint="eastAsia" w:ascii="仿宋" w:hAnsi="仿宋" w:eastAsia="仿宋" w:cs="仿宋"/>
                <w:sz w:val="22"/>
                <w:szCs w:val="22"/>
                <w:lang w:val="en-US" w:eastAsia="zh-CN"/>
              </w:rPr>
              <w:t>10</w:t>
            </w:r>
            <w:r>
              <w:rPr>
                <w:rFonts w:hint="eastAsia" w:ascii="仿宋" w:hAnsi="仿宋" w:eastAsia="仿宋" w:cs="仿宋"/>
                <w:sz w:val="22"/>
                <w:szCs w:val="22"/>
              </w:rPr>
              <w:t>分；技术支持资料显示与招标文件要求有非实质性负偏离的或未提供技术支持资料的，有一项扣1分，扣完</w:t>
            </w:r>
            <w:r>
              <w:rPr>
                <w:rFonts w:hint="eastAsia" w:ascii="仿宋" w:hAnsi="仿宋" w:eastAsia="仿宋" w:cs="仿宋"/>
                <w:sz w:val="22"/>
                <w:szCs w:val="22"/>
                <w:lang w:val="en-US" w:eastAsia="zh-CN"/>
              </w:rPr>
              <w:t>10</w:t>
            </w:r>
            <w:r>
              <w:rPr>
                <w:rFonts w:hint="eastAsia" w:ascii="仿宋" w:hAnsi="仿宋" w:eastAsia="仿宋" w:cs="仿宋"/>
                <w:sz w:val="22"/>
                <w:szCs w:val="22"/>
              </w:rPr>
              <w:t>分为止。（在计算偏离项数时，同一参数不重复扣分）</w:t>
            </w:r>
          </w:p>
          <w:p>
            <w:pPr>
              <w:pStyle w:val="11"/>
              <w:ind w:left="0" w:leftChars="0"/>
              <w:rPr>
                <w:rFonts w:hint="eastAsia" w:ascii="仿宋" w:hAnsi="仿宋" w:eastAsia="仿宋" w:cs="仿宋"/>
                <w:sz w:val="22"/>
                <w:szCs w:val="22"/>
              </w:rPr>
            </w:pPr>
            <w:r>
              <w:rPr>
                <w:rFonts w:hint="eastAsia" w:ascii="仿宋" w:hAnsi="仿宋" w:eastAsia="仿宋" w:cs="仿宋"/>
                <w:sz w:val="22"/>
                <w:szCs w:val="22"/>
              </w:rPr>
              <w:t>技术资料：以招标文件明确要求的材料为准,若招标文件未明确要求则以制造商公开发布的资料或检测机构出具的检测报告为准。若制造商公开发布的资料与检测机构出具的检测报告不一致，以检测机构出具的检测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noWrap w:val="0"/>
            <w:vAlign w:val="top"/>
          </w:tcPr>
          <w:p>
            <w:pPr>
              <w:spacing w:line="360" w:lineRule="auto"/>
              <w:rPr>
                <w:rFonts w:hint="eastAsia" w:ascii="仿宋" w:hAnsi="仿宋" w:eastAsia="仿宋" w:cs="仿宋"/>
                <w:sz w:val="22"/>
                <w:szCs w:val="22"/>
              </w:rPr>
            </w:pPr>
          </w:p>
        </w:tc>
        <w:tc>
          <w:tcPr>
            <w:tcW w:w="1334" w:type="dxa"/>
            <w:vMerge w:val="continue"/>
            <w:noWrap w:val="0"/>
            <w:vAlign w:val="top"/>
          </w:tcPr>
          <w:p>
            <w:pPr>
              <w:spacing w:line="360" w:lineRule="auto"/>
              <w:rPr>
                <w:rFonts w:hint="eastAsia" w:ascii="仿宋" w:hAnsi="仿宋" w:eastAsia="仿宋" w:cs="仿宋"/>
                <w:sz w:val="22"/>
                <w:szCs w:val="22"/>
              </w:rPr>
            </w:pPr>
          </w:p>
        </w:tc>
        <w:tc>
          <w:tcPr>
            <w:tcW w:w="967" w:type="dxa"/>
            <w:noWrap w:val="0"/>
            <w:vAlign w:val="center"/>
          </w:tcPr>
          <w:p>
            <w:pPr>
              <w:rPr>
                <w:rFonts w:hint="eastAsia" w:ascii="仿宋" w:hAnsi="仿宋" w:eastAsia="仿宋" w:cs="仿宋"/>
                <w:sz w:val="22"/>
                <w:szCs w:val="22"/>
              </w:rPr>
            </w:pPr>
            <w:r>
              <w:rPr>
                <w:rFonts w:hint="eastAsia" w:ascii="仿宋" w:hAnsi="仿宋" w:eastAsia="仿宋" w:cs="仿宋"/>
                <w:sz w:val="22"/>
                <w:szCs w:val="22"/>
              </w:rPr>
              <w:t>其他技术参数</w:t>
            </w:r>
          </w:p>
        </w:tc>
        <w:tc>
          <w:tcPr>
            <w:tcW w:w="708" w:type="dxa"/>
            <w:noWrap w:val="0"/>
            <w:vAlign w:val="center"/>
          </w:tcPr>
          <w:p>
            <w:pPr>
              <w:rPr>
                <w:rFonts w:hint="eastAsia" w:ascii="仿宋" w:hAnsi="仿宋" w:eastAsia="仿宋" w:cs="仿宋"/>
                <w:sz w:val="22"/>
                <w:szCs w:val="22"/>
              </w:rPr>
            </w:pPr>
            <w:r>
              <w:rPr>
                <w:rFonts w:hint="eastAsia" w:ascii="仿宋" w:hAnsi="仿宋" w:eastAsia="仿宋" w:cs="仿宋"/>
                <w:sz w:val="22"/>
                <w:szCs w:val="22"/>
                <w:lang w:val="en-US" w:eastAsia="zh-CN"/>
              </w:rPr>
              <w:t>5</w:t>
            </w:r>
            <w:r>
              <w:rPr>
                <w:rFonts w:hint="eastAsia" w:ascii="仿宋" w:hAnsi="仿宋" w:eastAsia="仿宋" w:cs="仿宋"/>
                <w:sz w:val="22"/>
                <w:szCs w:val="22"/>
              </w:rPr>
              <w:t>.00</w:t>
            </w:r>
          </w:p>
        </w:tc>
        <w:tc>
          <w:tcPr>
            <w:tcW w:w="4892" w:type="dxa"/>
            <w:noWrap w:val="0"/>
            <w:vAlign w:val="center"/>
          </w:tcPr>
          <w:p>
            <w:pPr>
              <w:rPr>
                <w:rFonts w:hint="eastAsia" w:ascii="仿宋" w:hAnsi="仿宋" w:eastAsia="仿宋" w:cs="仿宋"/>
                <w:sz w:val="22"/>
                <w:szCs w:val="22"/>
              </w:rPr>
            </w:pPr>
            <w:r>
              <w:rPr>
                <w:rFonts w:hint="eastAsia" w:ascii="仿宋" w:hAnsi="仿宋" w:eastAsia="仿宋" w:cs="仿宋"/>
                <w:sz w:val="22"/>
                <w:szCs w:val="22"/>
              </w:rPr>
              <w:t>根据投标文件中其它技术参数（未标记“◆”和“*”的技术参数）的型号规格、实现功能、外观、材质、制作工艺、使用寿命、安全性、可靠性等各项性能指标与招标文件要求的响应程度和偏离情况进行评分。</w:t>
            </w:r>
          </w:p>
          <w:p>
            <w:pPr>
              <w:rPr>
                <w:rFonts w:hint="eastAsia" w:ascii="仿宋" w:hAnsi="仿宋" w:eastAsia="仿宋" w:cs="仿宋"/>
                <w:sz w:val="22"/>
                <w:szCs w:val="22"/>
              </w:rPr>
            </w:pPr>
            <w:r>
              <w:rPr>
                <w:rFonts w:hint="eastAsia" w:ascii="仿宋" w:hAnsi="仿宋" w:eastAsia="仿宋" w:cs="仿宋"/>
                <w:sz w:val="22"/>
                <w:szCs w:val="22"/>
              </w:rPr>
              <w:t>各项性能指标全部满足招标文件要求的，得</w:t>
            </w:r>
            <w:r>
              <w:rPr>
                <w:rFonts w:hint="eastAsia" w:ascii="仿宋" w:hAnsi="仿宋" w:eastAsia="仿宋" w:cs="仿宋"/>
                <w:sz w:val="22"/>
                <w:szCs w:val="22"/>
                <w:lang w:val="en-US" w:eastAsia="zh-CN"/>
              </w:rPr>
              <w:t>5</w:t>
            </w:r>
            <w:r>
              <w:rPr>
                <w:rFonts w:hint="eastAsia" w:ascii="仿宋" w:hAnsi="仿宋" w:eastAsia="仿宋" w:cs="仿宋"/>
                <w:sz w:val="22"/>
                <w:szCs w:val="22"/>
              </w:rPr>
              <w:t>分；与招标文件要求有非实质性负偏离的，有一项扣0.5分，扣完</w:t>
            </w:r>
            <w:r>
              <w:rPr>
                <w:rFonts w:hint="eastAsia" w:ascii="仿宋" w:hAnsi="仿宋" w:eastAsia="仿宋" w:cs="仿宋"/>
                <w:sz w:val="22"/>
                <w:szCs w:val="22"/>
                <w:lang w:val="en-US" w:eastAsia="zh-CN"/>
              </w:rPr>
              <w:t>5</w:t>
            </w:r>
            <w:r>
              <w:rPr>
                <w:rFonts w:hint="eastAsia" w:ascii="仿宋" w:hAnsi="仿宋" w:eastAsia="仿宋" w:cs="仿宋"/>
                <w:sz w:val="22"/>
                <w:szCs w:val="22"/>
              </w:rPr>
              <w:t>分为止。（在计算偏离项数时，同一参数不累加计算）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noWrap w:val="0"/>
            <w:vAlign w:val="top"/>
          </w:tcPr>
          <w:p>
            <w:pPr>
              <w:spacing w:line="360" w:lineRule="auto"/>
              <w:rPr>
                <w:rFonts w:hint="eastAsia" w:ascii="仿宋" w:hAnsi="仿宋" w:eastAsia="仿宋" w:cs="仿宋"/>
                <w:sz w:val="22"/>
                <w:szCs w:val="22"/>
              </w:rPr>
            </w:pPr>
          </w:p>
        </w:tc>
        <w:tc>
          <w:tcPr>
            <w:tcW w:w="1334" w:type="dxa"/>
            <w:noWrap w:val="0"/>
            <w:vAlign w:val="center"/>
          </w:tcPr>
          <w:p>
            <w:pPr>
              <w:rPr>
                <w:rFonts w:hint="eastAsia" w:ascii="仿宋" w:hAnsi="仿宋" w:eastAsia="仿宋" w:cs="仿宋"/>
                <w:sz w:val="22"/>
                <w:szCs w:val="22"/>
              </w:rPr>
            </w:pPr>
            <w:r>
              <w:rPr>
                <w:rFonts w:hint="eastAsia" w:ascii="仿宋" w:hAnsi="仿宋" w:eastAsia="仿宋" w:cs="仿宋"/>
                <w:sz w:val="22"/>
                <w:szCs w:val="22"/>
              </w:rPr>
              <w:t>投标产品节能、环保性能</w:t>
            </w:r>
          </w:p>
        </w:tc>
        <w:tc>
          <w:tcPr>
            <w:tcW w:w="967" w:type="dxa"/>
            <w:noWrap w:val="0"/>
            <w:vAlign w:val="center"/>
          </w:tcPr>
          <w:p>
            <w:pPr>
              <w:rPr>
                <w:rFonts w:hint="eastAsia" w:ascii="仿宋" w:hAnsi="仿宋" w:eastAsia="仿宋" w:cs="仿宋"/>
                <w:sz w:val="22"/>
                <w:szCs w:val="22"/>
              </w:rPr>
            </w:pPr>
            <w:r>
              <w:rPr>
                <w:rFonts w:hint="eastAsia" w:ascii="仿宋" w:hAnsi="仿宋" w:eastAsia="仿宋" w:cs="仿宋"/>
                <w:sz w:val="22"/>
                <w:szCs w:val="22"/>
              </w:rPr>
              <w:t>8.00</w:t>
            </w:r>
          </w:p>
        </w:tc>
        <w:tc>
          <w:tcPr>
            <w:tcW w:w="5600" w:type="dxa"/>
            <w:gridSpan w:val="2"/>
            <w:noWrap w:val="0"/>
            <w:vAlign w:val="center"/>
          </w:tcPr>
          <w:p>
            <w:pPr>
              <w:jc w:val="left"/>
              <w:rPr>
                <w:rFonts w:hint="eastAsia" w:ascii="仿宋" w:hAnsi="仿宋" w:eastAsia="仿宋" w:cs="仿宋"/>
                <w:sz w:val="22"/>
                <w:szCs w:val="22"/>
              </w:rPr>
            </w:pPr>
            <w:r>
              <w:rPr>
                <w:rFonts w:hint="eastAsia" w:ascii="仿宋" w:hAnsi="仿宋" w:eastAsia="仿宋" w:cs="仿宋"/>
                <w:sz w:val="22"/>
                <w:szCs w:val="22"/>
              </w:rPr>
              <w:t xml:space="preserve">1.提供投标产品的国家认定的节能产品认证材料。评标委员会对所有有效供应商提供的材料进行综合评比。提供节能产品品种数量最多的，得4分；提供节能产品品种数量最少的，得0分；范围内采用线性插值法计算得分，计算结果保留两位小数。 </w:t>
            </w:r>
          </w:p>
          <w:p>
            <w:pPr>
              <w:rPr>
                <w:rFonts w:hint="eastAsia" w:ascii="仿宋" w:hAnsi="仿宋" w:eastAsia="仿宋" w:cs="仿宋"/>
                <w:sz w:val="22"/>
                <w:szCs w:val="22"/>
              </w:rPr>
            </w:pPr>
            <w:r>
              <w:rPr>
                <w:rFonts w:hint="eastAsia" w:ascii="仿宋" w:hAnsi="仿宋" w:eastAsia="仿宋" w:cs="仿宋"/>
                <w:sz w:val="22"/>
                <w:szCs w:val="22"/>
              </w:rPr>
              <w:t>2.提供投标产品的国家认定的环保产品认证材料。评标委员会对所有有效供应商提供的材料进行综合评比。提供环保产品品种数量最多的，得4分；提供环保产品品种数量最少的，得0分；范围内采用线性插值法计算得分，计算结果保留两位小数。</w:t>
            </w:r>
          </w:p>
          <w:p>
            <w:pPr>
              <w:rPr>
                <w:rFonts w:hint="eastAsia" w:ascii="仿宋" w:hAnsi="仿宋" w:eastAsia="仿宋" w:cs="仿宋"/>
                <w:sz w:val="22"/>
                <w:szCs w:val="22"/>
              </w:rPr>
            </w:pPr>
            <w:r>
              <w:rPr>
                <w:rFonts w:hint="eastAsia" w:ascii="仿宋" w:hAnsi="仿宋" w:eastAsia="仿宋" w:cs="仿宋"/>
                <w:sz w:val="22"/>
                <w:szCs w:val="22"/>
              </w:rPr>
              <w:t>注：节能、环保产品必须纳入“中国政府采购网http://www.ccgp.gov.cn”中相应品目清单内，须提供国家确定的认证机构出具的、处于有效期之内的节能产品、环境标志产品认证证书。将上述材料打印放入投标文件中并加盖供应商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noWrap w:val="0"/>
            <w:vAlign w:val="top"/>
          </w:tcPr>
          <w:p>
            <w:pPr>
              <w:spacing w:line="360" w:lineRule="auto"/>
              <w:rPr>
                <w:rFonts w:hint="eastAsia" w:ascii="仿宋" w:hAnsi="仿宋" w:eastAsia="仿宋" w:cs="仿宋"/>
                <w:sz w:val="22"/>
                <w:szCs w:val="22"/>
              </w:rPr>
            </w:pPr>
          </w:p>
        </w:tc>
        <w:tc>
          <w:tcPr>
            <w:tcW w:w="1334" w:type="dxa"/>
            <w:noWrap w:val="0"/>
            <w:vAlign w:val="center"/>
          </w:tcPr>
          <w:p>
            <w:pPr>
              <w:rPr>
                <w:rFonts w:hint="eastAsia" w:ascii="仿宋" w:hAnsi="仿宋" w:eastAsia="仿宋" w:cs="仿宋"/>
                <w:sz w:val="22"/>
                <w:szCs w:val="22"/>
              </w:rPr>
            </w:pPr>
            <w:r>
              <w:rPr>
                <w:rFonts w:hint="eastAsia" w:ascii="仿宋" w:hAnsi="仿宋" w:eastAsia="仿宋" w:cs="仿宋"/>
                <w:sz w:val="22"/>
                <w:szCs w:val="22"/>
              </w:rPr>
              <w:t>投标产品质量标准</w:t>
            </w:r>
          </w:p>
        </w:tc>
        <w:tc>
          <w:tcPr>
            <w:tcW w:w="967" w:type="dxa"/>
            <w:noWrap w:val="0"/>
            <w:vAlign w:val="center"/>
          </w:tcPr>
          <w:p>
            <w:pPr>
              <w:rPr>
                <w:rFonts w:hint="eastAsia" w:ascii="仿宋" w:hAnsi="仿宋" w:eastAsia="仿宋" w:cs="仿宋"/>
                <w:sz w:val="22"/>
                <w:szCs w:val="22"/>
              </w:rPr>
            </w:pPr>
            <w:r>
              <w:rPr>
                <w:rFonts w:hint="eastAsia" w:ascii="仿宋" w:hAnsi="仿宋" w:eastAsia="仿宋" w:cs="仿宋"/>
                <w:sz w:val="22"/>
                <w:szCs w:val="22"/>
              </w:rPr>
              <w:t>3.00</w:t>
            </w:r>
          </w:p>
        </w:tc>
        <w:tc>
          <w:tcPr>
            <w:tcW w:w="5600" w:type="dxa"/>
            <w:gridSpan w:val="2"/>
            <w:noWrap w:val="0"/>
            <w:vAlign w:val="center"/>
          </w:tcPr>
          <w:p>
            <w:pPr>
              <w:rPr>
                <w:rFonts w:hint="eastAsia" w:ascii="仿宋" w:hAnsi="仿宋" w:eastAsia="仿宋" w:cs="仿宋"/>
                <w:sz w:val="22"/>
                <w:szCs w:val="22"/>
              </w:rPr>
            </w:pPr>
            <w:r>
              <w:rPr>
                <w:rFonts w:hint="eastAsia" w:ascii="仿宋" w:hAnsi="仿宋" w:eastAsia="仿宋" w:cs="仿宋"/>
                <w:sz w:val="22"/>
                <w:szCs w:val="22"/>
              </w:rPr>
              <w:t>评标委员会根据投标产品质量标准进行综合评比。得1-3分。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noWrap w:val="0"/>
            <w:vAlign w:val="top"/>
          </w:tcPr>
          <w:p>
            <w:pPr>
              <w:spacing w:line="360" w:lineRule="auto"/>
              <w:rPr>
                <w:rFonts w:hint="eastAsia" w:ascii="仿宋" w:hAnsi="仿宋" w:eastAsia="仿宋" w:cs="仿宋"/>
                <w:sz w:val="22"/>
                <w:szCs w:val="22"/>
              </w:rPr>
            </w:pPr>
          </w:p>
        </w:tc>
        <w:tc>
          <w:tcPr>
            <w:tcW w:w="1334" w:type="dxa"/>
            <w:noWrap w:val="0"/>
            <w:vAlign w:val="center"/>
          </w:tcPr>
          <w:p>
            <w:pPr>
              <w:rPr>
                <w:rFonts w:hint="eastAsia" w:ascii="仿宋" w:hAnsi="仿宋" w:eastAsia="仿宋" w:cs="仿宋"/>
                <w:sz w:val="22"/>
                <w:szCs w:val="22"/>
              </w:rPr>
            </w:pPr>
            <w:r>
              <w:rPr>
                <w:rFonts w:hint="eastAsia" w:ascii="仿宋" w:hAnsi="仿宋" w:eastAsia="仿宋" w:cs="仿宋"/>
                <w:sz w:val="22"/>
                <w:szCs w:val="22"/>
              </w:rPr>
              <w:t>投标产品使用寿命及使用成本</w:t>
            </w:r>
          </w:p>
        </w:tc>
        <w:tc>
          <w:tcPr>
            <w:tcW w:w="967" w:type="dxa"/>
            <w:noWrap w:val="0"/>
            <w:vAlign w:val="center"/>
          </w:tcPr>
          <w:p>
            <w:pPr>
              <w:rPr>
                <w:rFonts w:hint="eastAsia" w:ascii="仿宋" w:hAnsi="仿宋" w:eastAsia="仿宋" w:cs="仿宋"/>
                <w:sz w:val="22"/>
                <w:szCs w:val="22"/>
              </w:rPr>
            </w:pPr>
            <w:r>
              <w:rPr>
                <w:rFonts w:hint="eastAsia" w:ascii="仿宋" w:hAnsi="仿宋" w:eastAsia="仿宋" w:cs="仿宋"/>
                <w:sz w:val="22"/>
                <w:szCs w:val="22"/>
              </w:rPr>
              <w:t>3.00</w:t>
            </w:r>
          </w:p>
        </w:tc>
        <w:tc>
          <w:tcPr>
            <w:tcW w:w="5600" w:type="dxa"/>
            <w:gridSpan w:val="2"/>
            <w:noWrap w:val="0"/>
            <w:vAlign w:val="center"/>
          </w:tcPr>
          <w:p>
            <w:pPr>
              <w:rPr>
                <w:rFonts w:hint="eastAsia" w:ascii="仿宋" w:hAnsi="仿宋" w:eastAsia="仿宋" w:cs="仿宋"/>
                <w:sz w:val="22"/>
                <w:szCs w:val="22"/>
              </w:rPr>
            </w:pPr>
            <w:r>
              <w:rPr>
                <w:rFonts w:hint="eastAsia" w:ascii="仿宋" w:hAnsi="仿宋" w:eastAsia="仿宋" w:cs="仿宋"/>
                <w:sz w:val="22"/>
                <w:szCs w:val="22"/>
              </w:rPr>
              <w:t>评标委员会根据投标产品寿命及使用成本进行综合评比。得1-3分。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noWrap w:val="0"/>
            <w:vAlign w:val="top"/>
          </w:tcPr>
          <w:p>
            <w:pPr>
              <w:spacing w:line="360" w:lineRule="auto"/>
              <w:rPr>
                <w:rFonts w:hint="eastAsia" w:ascii="仿宋" w:hAnsi="仿宋" w:eastAsia="仿宋" w:cs="仿宋"/>
                <w:sz w:val="22"/>
                <w:szCs w:val="22"/>
              </w:rPr>
            </w:pPr>
          </w:p>
        </w:tc>
        <w:tc>
          <w:tcPr>
            <w:tcW w:w="1334" w:type="dxa"/>
            <w:noWrap w:val="0"/>
            <w:vAlign w:val="center"/>
          </w:tcPr>
          <w:p>
            <w:pPr>
              <w:rPr>
                <w:rFonts w:hint="eastAsia" w:ascii="仿宋" w:hAnsi="仿宋" w:eastAsia="仿宋" w:cs="仿宋"/>
                <w:sz w:val="22"/>
                <w:szCs w:val="22"/>
              </w:rPr>
            </w:pPr>
            <w:r>
              <w:rPr>
                <w:rFonts w:hint="eastAsia" w:ascii="仿宋" w:hAnsi="仿宋" w:eastAsia="仿宋" w:cs="仿宋"/>
                <w:sz w:val="22"/>
                <w:szCs w:val="22"/>
              </w:rPr>
              <w:t>零配件</w:t>
            </w:r>
          </w:p>
        </w:tc>
        <w:tc>
          <w:tcPr>
            <w:tcW w:w="967" w:type="dxa"/>
            <w:noWrap w:val="0"/>
            <w:vAlign w:val="center"/>
          </w:tcPr>
          <w:p>
            <w:pPr>
              <w:rPr>
                <w:rFonts w:hint="eastAsia" w:ascii="仿宋" w:hAnsi="仿宋" w:eastAsia="仿宋" w:cs="仿宋"/>
                <w:sz w:val="22"/>
                <w:szCs w:val="22"/>
              </w:rPr>
            </w:pPr>
            <w:r>
              <w:rPr>
                <w:rFonts w:hint="eastAsia" w:ascii="仿宋" w:hAnsi="仿宋" w:eastAsia="仿宋" w:cs="仿宋"/>
                <w:sz w:val="22"/>
                <w:szCs w:val="22"/>
              </w:rPr>
              <w:t>4.00</w:t>
            </w:r>
          </w:p>
        </w:tc>
        <w:tc>
          <w:tcPr>
            <w:tcW w:w="5600" w:type="dxa"/>
            <w:gridSpan w:val="2"/>
            <w:noWrap w:val="0"/>
            <w:vAlign w:val="center"/>
          </w:tcPr>
          <w:p>
            <w:pPr>
              <w:rPr>
                <w:rFonts w:hint="eastAsia" w:ascii="仿宋" w:hAnsi="仿宋" w:eastAsia="仿宋" w:cs="仿宋"/>
                <w:sz w:val="22"/>
                <w:szCs w:val="22"/>
              </w:rPr>
            </w:pPr>
            <w:r>
              <w:rPr>
                <w:rFonts w:hint="eastAsia" w:ascii="仿宋" w:hAnsi="仿宋" w:eastAsia="仿宋" w:cs="仿宋"/>
                <w:sz w:val="22"/>
                <w:szCs w:val="22"/>
              </w:rPr>
              <w:t>产品主要零配件的性能等进行综合评比。得1-4分。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noWrap w:val="0"/>
            <w:vAlign w:val="top"/>
          </w:tcPr>
          <w:p>
            <w:pPr>
              <w:spacing w:line="360" w:lineRule="auto"/>
              <w:rPr>
                <w:rFonts w:hint="eastAsia" w:ascii="仿宋" w:hAnsi="仿宋" w:eastAsia="仿宋" w:cs="仿宋"/>
                <w:sz w:val="22"/>
                <w:szCs w:val="22"/>
              </w:rPr>
            </w:pPr>
          </w:p>
        </w:tc>
        <w:tc>
          <w:tcPr>
            <w:tcW w:w="1334" w:type="dxa"/>
            <w:noWrap w:val="0"/>
            <w:vAlign w:val="center"/>
          </w:tcPr>
          <w:p>
            <w:pPr>
              <w:rPr>
                <w:rFonts w:hint="eastAsia" w:ascii="仿宋" w:hAnsi="仿宋" w:eastAsia="仿宋" w:cs="仿宋"/>
                <w:sz w:val="22"/>
                <w:szCs w:val="22"/>
              </w:rPr>
            </w:pPr>
            <w:r>
              <w:rPr>
                <w:rFonts w:hint="eastAsia" w:ascii="仿宋" w:hAnsi="仿宋" w:eastAsia="仿宋" w:cs="仿宋"/>
                <w:sz w:val="22"/>
                <w:szCs w:val="22"/>
              </w:rPr>
              <w:t>设计、安装、调试、验收方案</w:t>
            </w:r>
          </w:p>
        </w:tc>
        <w:tc>
          <w:tcPr>
            <w:tcW w:w="967" w:type="dxa"/>
            <w:noWrap w:val="0"/>
            <w:vAlign w:val="center"/>
          </w:tcPr>
          <w:p>
            <w:pPr>
              <w:rPr>
                <w:rFonts w:hint="eastAsia" w:ascii="仿宋" w:hAnsi="仿宋" w:eastAsia="仿宋" w:cs="仿宋"/>
                <w:sz w:val="22"/>
                <w:szCs w:val="22"/>
              </w:rPr>
            </w:pPr>
            <w:r>
              <w:rPr>
                <w:rFonts w:hint="eastAsia" w:ascii="仿宋" w:hAnsi="仿宋" w:eastAsia="仿宋" w:cs="仿宋"/>
                <w:sz w:val="22"/>
                <w:szCs w:val="22"/>
              </w:rPr>
              <w:t>3.00</w:t>
            </w:r>
          </w:p>
        </w:tc>
        <w:tc>
          <w:tcPr>
            <w:tcW w:w="5600" w:type="dxa"/>
            <w:gridSpan w:val="2"/>
            <w:noWrap w:val="0"/>
            <w:vAlign w:val="center"/>
          </w:tcPr>
          <w:p>
            <w:pPr>
              <w:rPr>
                <w:rFonts w:hint="eastAsia" w:ascii="仿宋" w:hAnsi="仿宋" w:eastAsia="仿宋" w:cs="仿宋"/>
                <w:sz w:val="22"/>
                <w:szCs w:val="22"/>
              </w:rPr>
            </w:pPr>
            <w:r>
              <w:rPr>
                <w:rFonts w:hint="eastAsia" w:ascii="仿宋" w:hAnsi="仿宋" w:eastAsia="仿宋" w:cs="仿宋"/>
                <w:sz w:val="22"/>
                <w:szCs w:val="22"/>
              </w:rPr>
              <w:t>方案科学有效且具有可操作性的，得3分；方案一般且能满足需要的，得2分；方案不完整但能基本满足需要的，得 1分；方案存在明显缺陷的或无方案的，不得分。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restart"/>
            <w:noWrap w:val="0"/>
            <w:vAlign w:val="center"/>
          </w:tcPr>
          <w:p>
            <w:pPr>
              <w:spacing w:line="360" w:lineRule="auto"/>
              <w:jc w:val="center"/>
              <w:rPr>
                <w:rFonts w:hint="eastAsia" w:ascii="仿宋" w:hAnsi="仿宋" w:eastAsia="仿宋" w:cs="仿宋"/>
                <w:sz w:val="22"/>
                <w:szCs w:val="22"/>
              </w:rPr>
            </w:pPr>
            <w:r>
              <w:rPr>
                <w:rFonts w:hint="eastAsia" w:ascii="仿宋" w:hAnsi="仿宋" w:eastAsia="仿宋" w:cs="仿宋"/>
                <w:sz w:val="22"/>
                <w:szCs w:val="22"/>
              </w:rPr>
              <w:t>售后服务承诺（满分10分）</w:t>
            </w:r>
          </w:p>
        </w:tc>
        <w:tc>
          <w:tcPr>
            <w:tcW w:w="1334" w:type="dxa"/>
            <w:noWrap w:val="0"/>
            <w:vAlign w:val="center"/>
          </w:tcPr>
          <w:p>
            <w:pPr>
              <w:rPr>
                <w:rFonts w:hint="eastAsia" w:ascii="仿宋" w:hAnsi="仿宋" w:eastAsia="仿宋" w:cs="仿宋"/>
                <w:sz w:val="22"/>
                <w:szCs w:val="22"/>
              </w:rPr>
            </w:pPr>
            <w:r>
              <w:rPr>
                <w:rFonts w:hint="eastAsia" w:ascii="仿宋" w:hAnsi="仿宋" w:eastAsia="仿宋" w:cs="仿宋"/>
                <w:sz w:val="22"/>
                <w:szCs w:val="22"/>
              </w:rPr>
              <w:t>售后服务方案</w:t>
            </w:r>
          </w:p>
        </w:tc>
        <w:tc>
          <w:tcPr>
            <w:tcW w:w="967" w:type="dxa"/>
            <w:noWrap w:val="0"/>
            <w:vAlign w:val="center"/>
          </w:tcPr>
          <w:p>
            <w:pPr>
              <w:rPr>
                <w:rFonts w:hint="eastAsia" w:ascii="仿宋" w:hAnsi="仿宋" w:eastAsia="仿宋" w:cs="仿宋"/>
                <w:sz w:val="22"/>
                <w:szCs w:val="22"/>
              </w:rPr>
            </w:pPr>
            <w:r>
              <w:rPr>
                <w:rFonts w:hint="eastAsia" w:ascii="仿宋" w:hAnsi="仿宋" w:eastAsia="仿宋" w:cs="仿宋"/>
                <w:sz w:val="22"/>
                <w:szCs w:val="22"/>
              </w:rPr>
              <w:t>3.00</w:t>
            </w:r>
          </w:p>
        </w:tc>
        <w:tc>
          <w:tcPr>
            <w:tcW w:w="5600" w:type="dxa"/>
            <w:gridSpan w:val="2"/>
            <w:noWrap w:val="0"/>
            <w:vAlign w:val="center"/>
          </w:tcPr>
          <w:p>
            <w:pPr>
              <w:rPr>
                <w:rFonts w:hint="eastAsia" w:ascii="仿宋" w:hAnsi="仿宋" w:eastAsia="仿宋" w:cs="仿宋"/>
                <w:sz w:val="22"/>
                <w:szCs w:val="22"/>
              </w:rPr>
            </w:pPr>
            <w:r>
              <w:rPr>
                <w:rFonts w:hint="eastAsia" w:ascii="仿宋" w:hAnsi="仿宋" w:eastAsia="仿宋" w:cs="仿宋"/>
                <w:sz w:val="22"/>
                <w:szCs w:val="22"/>
              </w:rPr>
              <w:t>有明确的“售后服务方案”，方案中保修内容与范围、维修响应时间等，满足招标文件要求得2分；优于招标文件要求的，有一项加0.5分，加满1分为止（本项目最多得3分）；与招标文件要求有非实质性负偏离的，有一项扣0.5分，扣完2分为止。 没有“售后服务方案”的，不得分。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noWrap w:val="0"/>
            <w:vAlign w:val="top"/>
          </w:tcPr>
          <w:p>
            <w:pPr>
              <w:spacing w:line="360" w:lineRule="auto"/>
              <w:rPr>
                <w:rFonts w:hint="eastAsia" w:ascii="仿宋" w:hAnsi="仿宋" w:eastAsia="仿宋" w:cs="仿宋"/>
                <w:sz w:val="22"/>
                <w:szCs w:val="22"/>
              </w:rPr>
            </w:pPr>
          </w:p>
        </w:tc>
        <w:tc>
          <w:tcPr>
            <w:tcW w:w="1334" w:type="dxa"/>
            <w:noWrap w:val="0"/>
            <w:vAlign w:val="center"/>
          </w:tcPr>
          <w:p>
            <w:pPr>
              <w:rPr>
                <w:rFonts w:hint="eastAsia" w:ascii="仿宋" w:hAnsi="仿宋" w:eastAsia="仿宋" w:cs="仿宋"/>
                <w:sz w:val="22"/>
                <w:szCs w:val="22"/>
              </w:rPr>
            </w:pPr>
            <w:r>
              <w:rPr>
                <w:rFonts w:hint="eastAsia" w:ascii="仿宋" w:hAnsi="仿宋" w:eastAsia="仿宋" w:cs="仿宋"/>
                <w:sz w:val="22"/>
                <w:szCs w:val="22"/>
              </w:rPr>
              <w:t>售后服务有利于用户节省投资和维修保养</w:t>
            </w:r>
          </w:p>
        </w:tc>
        <w:tc>
          <w:tcPr>
            <w:tcW w:w="967" w:type="dxa"/>
            <w:noWrap w:val="0"/>
            <w:vAlign w:val="center"/>
          </w:tcPr>
          <w:p>
            <w:pPr>
              <w:rPr>
                <w:rFonts w:hint="eastAsia" w:ascii="仿宋" w:hAnsi="仿宋" w:eastAsia="仿宋" w:cs="仿宋"/>
                <w:sz w:val="22"/>
                <w:szCs w:val="22"/>
              </w:rPr>
            </w:pPr>
            <w:r>
              <w:rPr>
                <w:rFonts w:hint="eastAsia" w:ascii="仿宋" w:hAnsi="仿宋" w:eastAsia="仿宋" w:cs="仿宋"/>
                <w:sz w:val="22"/>
                <w:szCs w:val="22"/>
              </w:rPr>
              <w:t>2.00</w:t>
            </w:r>
          </w:p>
        </w:tc>
        <w:tc>
          <w:tcPr>
            <w:tcW w:w="5600" w:type="dxa"/>
            <w:gridSpan w:val="2"/>
            <w:noWrap w:val="0"/>
            <w:vAlign w:val="center"/>
          </w:tcPr>
          <w:p>
            <w:pPr>
              <w:rPr>
                <w:rFonts w:hint="eastAsia" w:ascii="仿宋" w:hAnsi="仿宋" w:eastAsia="仿宋" w:cs="仿宋"/>
                <w:sz w:val="22"/>
                <w:szCs w:val="22"/>
              </w:rPr>
            </w:pPr>
            <w:r>
              <w:rPr>
                <w:rFonts w:hint="eastAsia" w:ascii="仿宋" w:hAnsi="仿宋" w:eastAsia="仿宋" w:cs="仿宋"/>
                <w:sz w:val="22"/>
                <w:szCs w:val="22"/>
              </w:rPr>
              <w:t>备品备件提供、维修费用结算等其他有利于用户的服务承诺，有一项得0.5分，得满2分为止。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noWrap w:val="0"/>
            <w:vAlign w:val="top"/>
          </w:tcPr>
          <w:p>
            <w:pPr>
              <w:spacing w:line="360" w:lineRule="auto"/>
              <w:rPr>
                <w:rFonts w:hint="eastAsia" w:ascii="仿宋" w:hAnsi="仿宋" w:eastAsia="仿宋" w:cs="仿宋"/>
                <w:sz w:val="22"/>
                <w:szCs w:val="22"/>
              </w:rPr>
            </w:pPr>
          </w:p>
        </w:tc>
        <w:tc>
          <w:tcPr>
            <w:tcW w:w="1334" w:type="dxa"/>
            <w:noWrap w:val="0"/>
            <w:vAlign w:val="center"/>
          </w:tcPr>
          <w:p>
            <w:pPr>
              <w:rPr>
                <w:rFonts w:hint="eastAsia" w:ascii="仿宋" w:hAnsi="仿宋" w:eastAsia="仿宋" w:cs="仿宋"/>
                <w:sz w:val="22"/>
                <w:szCs w:val="22"/>
              </w:rPr>
            </w:pPr>
            <w:r>
              <w:rPr>
                <w:rFonts w:hint="eastAsia" w:ascii="仿宋" w:hAnsi="仿宋" w:eastAsia="仿宋" w:cs="仿宋"/>
                <w:sz w:val="22"/>
                <w:szCs w:val="22"/>
              </w:rPr>
              <w:t>本地化售后服务</w:t>
            </w:r>
          </w:p>
        </w:tc>
        <w:tc>
          <w:tcPr>
            <w:tcW w:w="967" w:type="dxa"/>
            <w:noWrap w:val="0"/>
            <w:vAlign w:val="center"/>
          </w:tcPr>
          <w:p>
            <w:pPr>
              <w:rPr>
                <w:rFonts w:hint="eastAsia" w:ascii="仿宋" w:hAnsi="仿宋" w:eastAsia="仿宋" w:cs="仿宋"/>
                <w:sz w:val="22"/>
                <w:szCs w:val="22"/>
              </w:rPr>
            </w:pPr>
            <w:r>
              <w:rPr>
                <w:rFonts w:hint="eastAsia" w:ascii="仿宋" w:hAnsi="仿宋" w:eastAsia="仿宋" w:cs="仿宋"/>
                <w:sz w:val="22"/>
                <w:szCs w:val="22"/>
              </w:rPr>
              <w:t>3.00</w:t>
            </w:r>
          </w:p>
        </w:tc>
        <w:tc>
          <w:tcPr>
            <w:tcW w:w="5600" w:type="dxa"/>
            <w:gridSpan w:val="2"/>
            <w:noWrap w:val="0"/>
            <w:vAlign w:val="center"/>
          </w:tcPr>
          <w:p>
            <w:pPr>
              <w:pStyle w:val="8"/>
              <w:rPr>
                <w:rFonts w:hint="eastAsia" w:ascii="仿宋" w:hAnsi="仿宋" w:eastAsia="仿宋" w:cs="仿宋"/>
                <w:sz w:val="22"/>
                <w:szCs w:val="22"/>
              </w:rPr>
            </w:pPr>
            <w:r>
              <w:rPr>
                <w:rFonts w:hint="eastAsia" w:ascii="仿宋" w:hAnsi="仿宋" w:eastAsia="仿宋" w:cs="仿宋"/>
                <w:sz w:val="22"/>
                <w:szCs w:val="22"/>
                <w:highlight w:val="none"/>
              </w:rPr>
              <w:t>投标产品制造厂家或供应商设立了健全的售后服务机构网点，有详细的售后服务机构名单、地址、服务电话和维修人员名单等，</w:t>
            </w:r>
            <w:r>
              <w:rPr>
                <w:rFonts w:hint="eastAsia" w:ascii="仿宋" w:hAnsi="仿宋" w:eastAsia="仿宋" w:cs="仿宋"/>
                <w:sz w:val="22"/>
                <w:szCs w:val="22"/>
                <w:highlight w:val="none"/>
                <w:lang w:val="en-US" w:eastAsia="zh-CN"/>
              </w:rPr>
              <w:t>制造厂家注册地址在安徽省内并能提供本地化售后服务的</w:t>
            </w:r>
            <w:r>
              <w:rPr>
                <w:rFonts w:hint="eastAsia" w:ascii="仿宋" w:hAnsi="仿宋" w:eastAsia="仿宋" w:cs="仿宋"/>
                <w:sz w:val="22"/>
                <w:szCs w:val="22"/>
                <w:highlight w:val="none"/>
              </w:rPr>
              <w:t>，得3分；</w:t>
            </w:r>
            <w:r>
              <w:rPr>
                <w:rFonts w:hint="eastAsia" w:ascii="仿宋" w:hAnsi="仿宋" w:eastAsia="仿宋" w:cs="仿宋"/>
                <w:sz w:val="22"/>
                <w:szCs w:val="22"/>
                <w:highlight w:val="none"/>
                <w:lang w:val="en-US" w:eastAsia="zh-CN"/>
              </w:rPr>
              <w:t>在安徽省内</w:t>
            </w:r>
            <w:r>
              <w:rPr>
                <w:rFonts w:hint="eastAsia" w:ascii="仿宋" w:hAnsi="仿宋" w:eastAsia="仿宋" w:cs="仿宋"/>
                <w:sz w:val="22"/>
                <w:szCs w:val="22"/>
                <w:highlight w:val="none"/>
              </w:rPr>
              <w:t>能提供委托本地化售后服务的，得2分；未提供的，不得分。（供应商须在投标文件中提供相关证明材料并加盖供应商公章）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noWrap w:val="0"/>
            <w:vAlign w:val="top"/>
          </w:tcPr>
          <w:p>
            <w:pPr>
              <w:spacing w:line="360" w:lineRule="auto"/>
              <w:rPr>
                <w:rFonts w:hint="eastAsia" w:ascii="仿宋" w:hAnsi="仿宋" w:eastAsia="仿宋" w:cs="仿宋"/>
                <w:sz w:val="22"/>
                <w:szCs w:val="22"/>
              </w:rPr>
            </w:pPr>
          </w:p>
        </w:tc>
        <w:tc>
          <w:tcPr>
            <w:tcW w:w="1334" w:type="dxa"/>
            <w:noWrap w:val="0"/>
            <w:vAlign w:val="center"/>
          </w:tcPr>
          <w:p>
            <w:pPr>
              <w:rPr>
                <w:rFonts w:hint="eastAsia" w:ascii="仿宋" w:hAnsi="仿宋" w:eastAsia="仿宋" w:cs="仿宋"/>
                <w:sz w:val="22"/>
                <w:szCs w:val="22"/>
              </w:rPr>
            </w:pPr>
            <w:r>
              <w:rPr>
                <w:rFonts w:hint="eastAsia" w:ascii="仿宋" w:hAnsi="仿宋" w:eastAsia="仿宋" w:cs="仿宋"/>
                <w:sz w:val="22"/>
                <w:szCs w:val="22"/>
              </w:rPr>
              <w:t>培训方案</w:t>
            </w:r>
          </w:p>
        </w:tc>
        <w:tc>
          <w:tcPr>
            <w:tcW w:w="967" w:type="dxa"/>
            <w:noWrap w:val="0"/>
            <w:vAlign w:val="center"/>
          </w:tcPr>
          <w:p>
            <w:pPr>
              <w:rPr>
                <w:rFonts w:hint="eastAsia" w:ascii="仿宋" w:hAnsi="仿宋" w:eastAsia="仿宋" w:cs="仿宋"/>
                <w:sz w:val="22"/>
                <w:szCs w:val="22"/>
              </w:rPr>
            </w:pPr>
            <w:r>
              <w:rPr>
                <w:rFonts w:hint="eastAsia" w:ascii="仿宋" w:hAnsi="仿宋" w:eastAsia="仿宋" w:cs="仿宋"/>
                <w:sz w:val="22"/>
                <w:szCs w:val="22"/>
              </w:rPr>
              <w:t>2.00</w:t>
            </w:r>
          </w:p>
        </w:tc>
        <w:tc>
          <w:tcPr>
            <w:tcW w:w="5600" w:type="dxa"/>
            <w:gridSpan w:val="2"/>
            <w:noWrap w:val="0"/>
            <w:vAlign w:val="center"/>
          </w:tcPr>
          <w:p>
            <w:pPr>
              <w:rPr>
                <w:rFonts w:hint="eastAsia" w:ascii="仿宋" w:hAnsi="仿宋" w:eastAsia="仿宋" w:cs="仿宋"/>
                <w:sz w:val="22"/>
                <w:szCs w:val="22"/>
              </w:rPr>
            </w:pPr>
            <w:r>
              <w:rPr>
                <w:rFonts w:hint="eastAsia" w:ascii="仿宋" w:hAnsi="仿宋" w:eastAsia="仿宋" w:cs="仿宋"/>
                <w:sz w:val="22"/>
                <w:szCs w:val="22"/>
              </w:rPr>
              <w:t>有针对性的培训方案，培训方案应包括培训的时间、地点、目标、方式、内容、对象和措施。对方案的科学性可行性进行综合评比。得1-2分。</w:t>
            </w:r>
          </w:p>
        </w:tc>
      </w:tr>
    </w:tbl>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备注：评标委员会成员“技术标”合计分超出其他成员平均值±50%时，须写明评分依据及理由。</w:t>
      </w:r>
    </w:p>
    <w:p>
      <w:pPr>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 xml:space="preserve">3.4信用标（ </w:t>
      </w:r>
      <w:r>
        <w:rPr>
          <w:rFonts w:hint="eastAsia" w:ascii="仿宋" w:hAnsi="仿宋" w:eastAsia="仿宋" w:cs="仿宋"/>
          <w:color w:val="auto"/>
          <w:sz w:val="24"/>
          <w:szCs w:val="24"/>
          <w:highlight w:val="none"/>
          <w:lang w:val="en-US" w:eastAsia="zh-CN"/>
        </w:rPr>
        <w:t>12</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yellow"/>
          <w:lang w:eastAsia="zh-CN"/>
        </w:rPr>
        <w:t>（</w:t>
      </w:r>
      <w:r>
        <w:rPr>
          <w:rFonts w:hint="eastAsia" w:ascii="仿宋" w:hAnsi="仿宋" w:eastAsia="仿宋" w:cs="仿宋"/>
          <w:color w:val="auto"/>
          <w:sz w:val="24"/>
          <w:szCs w:val="24"/>
          <w:highlight w:val="yellow"/>
          <w:lang w:val="en-US" w:eastAsia="zh-CN"/>
        </w:rPr>
        <w:t>本项目不启用信用标，信用分统一得0分</w:t>
      </w:r>
      <w:r>
        <w:rPr>
          <w:rFonts w:hint="eastAsia" w:ascii="仿宋" w:hAnsi="仿宋" w:eastAsia="仿宋" w:cs="仿宋"/>
          <w:color w:val="auto"/>
          <w:sz w:val="24"/>
          <w:szCs w:val="24"/>
          <w:highlight w:val="yellow"/>
          <w:lang w:eastAsia="zh-CN"/>
        </w:rPr>
        <w:t>）</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3.4.1评标委员会对各有效供应商进行信用标评审，填写信用标评分表。分值标准如下：</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3.4.1.1信用评价系统无初始评价记录的供应商，统一得基本分</w:t>
      </w:r>
      <w:r>
        <w:rPr>
          <w:rFonts w:hint="eastAsia" w:ascii="仿宋" w:hAnsi="仿宋" w:eastAsia="仿宋" w:cs="仿宋"/>
          <w:color w:val="auto"/>
          <w:sz w:val="24"/>
          <w:szCs w:val="24"/>
          <w:highlight w:val="none"/>
          <w:lang w:val="en-US" w:eastAsia="zh-CN"/>
        </w:rPr>
        <w:t>7.2</w:t>
      </w:r>
      <w:r>
        <w:rPr>
          <w:rFonts w:hint="eastAsia" w:ascii="仿宋" w:hAnsi="仿宋" w:eastAsia="仿宋" w:cs="仿宋"/>
          <w:color w:val="auto"/>
          <w:sz w:val="24"/>
          <w:szCs w:val="24"/>
          <w:highlight w:val="none"/>
        </w:rPr>
        <w:t>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3.4.1.2信用评价系统已有评价记录的供应商，各供应商本项得分=（信用评价分值*</w:t>
      </w:r>
      <w:r>
        <w:rPr>
          <w:rFonts w:hint="eastAsia" w:ascii="仿宋" w:hAnsi="仿宋" w:eastAsia="仿宋" w:cs="仿宋"/>
          <w:color w:val="auto"/>
          <w:sz w:val="24"/>
          <w:szCs w:val="24"/>
          <w:highlight w:val="none"/>
          <w:lang w:val="en-US" w:eastAsia="zh-CN"/>
        </w:rPr>
        <w:t>12</w:t>
      </w:r>
      <w:r>
        <w:rPr>
          <w:rFonts w:hint="eastAsia" w:ascii="仿宋" w:hAnsi="仿宋" w:eastAsia="仿宋" w:cs="仿宋"/>
          <w:color w:val="auto"/>
          <w:sz w:val="24"/>
          <w:szCs w:val="24"/>
          <w:highlight w:val="none"/>
        </w:rPr>
        <w:t>）/100，信用评价系统的信用评价分值调用时间为开标前一日24:00时。</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4．评审结果 </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4.1经评审合格的投标文件，评标委员会按综合评审得分从高到低的顺序依次推荐2名中标候选供应商。排名第一的为首选中标供应商，排名第二的为备选供应商。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评标委员会完成评标后，应当向采购人提交书面评标报告。</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5.例外情况</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5.1当出现供应商综合评审得分相等时，按下列顺序排序：“投标报价”得分高的优先；仍相同时，“投标产品及其技术参数</w:t>
      </w:r>
      <w:r>
        <w:rPr>
          <w:rFonts w:hint="eastAsia" w:ascii="仿宋" w:hAnsi="仿宋" w:eastAsia="仿宋" w:cs="仿宋"/>
          <w:b/>
          <w:bCs/>
          <w:sz w:val="22"/>
          <w:szCs w:val="22"/>
          <w:u w:val="single"/>
        </w:rPr>
        <w:t>投标产品对招标文件的响应程度</w:t>
      </w:r>
      <w:r>
        <w:rPr>
          <w:rFonts w:hint="eastAsia" w:ascii="仿宋" w:hAnsi="仿宋" w:eastAsia="仿宋" w:cs="仿宋"/>
          <w:color w:val="auto"/>
          <w:sz w:val="24"/>
          <w:szCs w:val="24"/>
          <w:highlight w:val="none"/>
        </w:rPr>
        <w:t>”得分高的优先；依然相同时，由评标委员会现场抽签确定顺序。</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5.2当评标委员会认为各投标报价均较高时，可以否决全部投标。</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5.3招标文件条款存在含义不清或者相互矛盾的，评标委员会应当针对相应条款作出有利于相应供应商的结论。</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5.4 评标委员会发现招标文件存在歧义、重大缺陷导致评标工作无法进行，或者招标文件的内容违反国家有关强制性规定的，应当停止评标工作，与采购人或代理机构沟通并做书面记录。采购人或代理机构书面确认后，应当修改招标文件，重新组织采购活动。</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6.其他</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6.1</w:t>
      </w:r>
      <w:r>
        <w:rPr>
          <w:rFonts w:hint="eastAsia" w:ascii="仿宋" w:hAnsi="仿宋" w:eastAsia="仿宋" w:cs="仿宋"/>
          <w:color w:val="auto"/>
          <w:sz w:val="24"/>
          <w:szCs w:val="24"/>
          <w:highlight w:val="none"/>
        </w:rPr>
        <w:t>中标结果公告：公告内容应包括采购人及其委托的代理机构的名称、地址、联系方式，项目名称和项目编号，中标供应商名称、地址和中标金额，主要中标标的的名称、规格型号、数量、单价、服务要求，评标被否决单位及原因，中标公告期限以及评标委员会成员名单。招标文件随之一起公告。</w:t>
      </w:r>
    </w:p>
    <w:p>
      <w:pPr>
        <w:spacing w:line="360" w:lineRule="auto"/>
        <w:ind w:firstLine="480" w:firstLineChars="200"/>
        <w:rPr>
          <w:rFonts w:hint="eastAsia" w:ascii="仿宋" w:hAnsi="仿宋" w:eastAsia="仿宋" w:cs="仿宋"/>
          <w:color w:val="auto"/>
          <w:sz w:val="24"/>
          <w:szCs w:val="24"/>
          <w:highlight w:val="none"/>
          <w:lang w:eastAsia="zh-CN"/>
        </w:rPr>
      </w:pPr>
    </w:p>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br w:type="page"/>
      </w:r>
    </w:p>
    <w:p>
      <w:pPr>
        <w:pStyle w:val="4"/>
        <w:spacing w:line="500" w:lineRule="exact"/>
        <w:jc w:val="center"/>
        <w:rPr>
          <w:rFonts w:hint="eastAsia" w:ascii="仿宋" w:hAnsi="仿宋" w:eastAsia="仿宋" w:cs="仿宋"/>
          <w:color w:val="auto"/>
          <w:highlight w:val="none"/>
        </w:rPr>
      </w:pPr>
      <w:r>
        <w:rPr>
          <w:rFonts w:hint="eastAsia" w:ascii="仿宋" w:hAnsi="仿宋" w:eastAsia="仿宋" w:cs="仿宋"/>
          <w:color w:val="auto"/>
          <w:highlight w:val="none"/>
        </w:rPr>
        <w:t>第</w:t>
      </w:r>
      <w:r>
        <w:rPr>
          <w:rFonts w:hint="eastAsia" w:ascii="仿宋" w:hAnsi="仿宋" w:eastAsia="仿宋" w:cs="仿宋"/>
          <w:color w:val="auto"/>
          <w:highlight w:val="none"/>
          <w:lang w:val="en-US" w:eastAsia="zh-CN"/>
        </w:rPr>
        <w:t>六</w:t>
      </w:r>
      <w:r>
        <w:rPr>
          <w:rFonts w:hint="eastAsia" w:ascii="仿宋" w:hAnsi="仿宋" w:eastAsia="仿宋" w:cs="仿宋"/>
          <w:color w:val="auto"/>
          <w:highlight w:val="none"/>
        </w:rPr>
        <w:t>章  投标文件格式</w:t>
      </w:r>
    </w:p>
    <w:p>
      <w:pPr>
        <w:pStyle w:val="5"/>
        <w:spacing w:line="500" w:lineRule="exact"/>
        <w:jc w:val="left"/>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一、投标函（格式）</w:t>
      </w: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投标函I</w:t>
      </w:r>
    </w:p>
    <w:p>
      <w:pPr>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致：</w:t>
      </w:r>
      <w:r>
        <w:rPr>
          <w:rFonts w:hint="eastAsia" w:ascii="仿宋" w:hAnsi="仿宋" w:eastAsia="仿宋" w:cs="仿宋"/>
          <w:b/>
          <w:color w:val="auto"/>
          <w:sz w:val="24"/>
          <w:szCs w:val="24"/>
          <w:highlight w:val="none"/>
          <w:u w:val="single"/>
        </w:rPr>
        <w:t>（代理机构全称</w:t>
      </w:r>
      <w:r>
        <w:rPr>
          <w:rFonts w:hint="eastAsia" w:ascii="仿宋" w:hAnsi="仿宋" w:eastAsia="仿宋" w:cs="仿宋"/>
          <w:b/>
          <w:color w:val="auto"/>
          <w:sz w:val="24"/>
          <w:szCs w:val="24"/>
          <w:highlight w:val="none"/>
        </w:rPr>
        <w:t>）</w:t>
      </w: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1.在研究了</w:t>
      </w:r>
      <w:r>
        <w:rPr>
          <w:rFonts w:hint="eastAsia" w:ascii="仿宋" w:hAnsi="仿宋" w:eastAsia="仿宋" w:cs="仿宋"/>
          <w:color w:val="auto"/>
          <w:highlight w:val="none"/>
          <w:u w:val="single"/>
        </w:rPr>
        <w:t xml:space="preserve">      </w:t>
      </w:r>
      <w:r>
        <w:rPr>
          <w:rFonts w:hint="eastAsia" w:ascii="仿宋" w:hAnsi="仿宋" w:eastAsia="仿宋" w:cs="仿宋"/>
          <w:b/>
          <w:color w:val="auto"/>
          <w:highlight w:val="none"/>
          <w:u w:val="single"/>
        </w:rPr>
        <w:t>项目名称及编号（如为分包项目注明包号或标段号）</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招标文件（含补充文件）后，我们愿意按人民币（大写</w:t>
      </w:r>
      <w:r>
        <w:rPr>
          <w:rFonts w:hint="eastAsia" w:ascii="仿宋" w:hAnsi="仿宋" w:eastAsia="仿宋" w:cs="仿宋"/>
          <w:color w:val="auto"/>
          <w:highlight w:val="none"/>
          <w:u w:val="single"/>
        </w:rPr>
        <w:t>******</w:t>
      </w:r>
      <w:r>
        <w:rPr>
          <w:rFonts w:hint="eastAsia" w:ascii="仿宋" w:hAnsi="仿宋" w:eastAsia="仿宋" w:cs="仿宋"/>
          <w:color w:val="auto"/>
          <w:highlight w:val="none"/>
        </w:rPr>
        <w:t>元）（小写</w:t>
      </w:r>
      <w:r>
        <w:rPr>
          <w:rFonts w:hint="eastAsia" w:ascii="仿宋" w:hAnsi="仿宋" w:eastAsia="仿宋" w:cs="仿宋"/>
          <w:color w:val="auto"/>
          <w:highlight w:val="none"/>
          <w:u w:val="single"/>
        </w:rPr>
        <w:t>*****</w:t>
      </w:r>
      <w:r>
        <w:rPr>
          <w:rFonts w:hint="eastAsia" w:ascii="仿宋" w:hAnsi="仿宋" w:eastAsia="仿宋" w:cs="仿宋"/>
          <w:color w:val="auto"/>
          <w:highlight w:val="none"/>
        </w:rPr>
        <w:t>元）的投标总价，遵照招标文件（含补充文件）的要求承担本招标项目的实施，完成本次招标范围的全部项目内容及其保修工作。</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2.如果你单位接受我们的投标，我们将保证在</w:t>
      </w:r>
      <w:r>
        <w:rPr>
          <w:rFonts w:hint="eastAsia" w:ascii="仿宋" w:hAnsi="仿宋" w:eastAsia="仿宋" w:cs="仿宋"/>
          <w:color w:val="auto"/>
          <w:highlight w:val="none"/>
          <w:u w:val="single"/>
        </w:rPr>
        <w:t>*****</w:t>
      </w:r>
      <w:r>
        <w:rPr>
          <w:rFonts w:hint="eastAsia" w:ascii="仿宋" w:hAnsi="仿宋" w:eastAsia="仿宋" w:cs="仿宋"/>
          <w:color w:val="auto"/>
          <w:highlight w:val="none"/>
        </w:rPr>
        <w:t>个日历天的供货期内完成本招标项目的全部工作内容，并达到招标规定的要求。</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3.我们同意从规定的开标之日起56个日历天的投标有效期内严格遵守投标文件的各项承诺。在此期限届满之前，本投标文件始终将对我方具有约束力，并随时接受中标。</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4.在合同书正式签署生效之前，本投标文件连同你单位的中标通知书将构成我们双方之间共同遵守的文件，对双方具有约束力。</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5.我们理解你单位不负担我们的任何投标费用。</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6.我方承诺，与对本次招标货物进行设计、编制规范和其他文件的单位或其附属机构均无关联。我方不是买方的附属机构。</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7.我们完全接受招标文件的规定。如有违反，你单位有权撤消我单位中标资格，另选中标单位。</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8.其他需要承诺的事项（为保留条款）。</w:t>
      </w:r>
    </w:p>
    <w:p>
      <w:pPr>
        <w:spacing w:line="360" w:lineRule="auto"/>
        <w:ind w:firstLine="420" w:firstLineChars="200"/>
        <w:rPr>
          <w:rFonts w:hint="eastAsia" w:ascii="仿宋" w:hAnsi="仿宋" w:eastAsia="仿宋" w:cs="仿宋"/>
          <w:color w:val="auto"/>
          <w:highlight w:val="none"/>
        </w:rPr>
      </w:pP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 xml:space="preserve">供应商： (盖单位印章) </w:t>
      </w: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单位地址及邮政编码：</w:t>
      </w: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法定代表人（</w:t>
      </w:r>
      <w:r>
        <w:rPr>
          <w:rFonts w:hint="eastAsia" w:ascii="仿宋" w:hAnsi="仿宋" w:eastAsia="仿宋" w:cs="仿宋"/>
          <w:color w:val="auto"/>
          <w:szCs w:val="21"/>
          <w:highlight w:val="none"/>
        </w:rPr>
        <w:t>盖印章</w:t>
      </w:r>
      <w:r>
        <w:rPr>
          <w:rFonts w:hint="eastAsia" w:ascii="仿宋" w:hAnsi="仿宋" w:eastAsia="仿宋" w:cs="仿宋"/>
          <w:color w:val="auto"/>
          <w:highlight w:val="none"/>
        </w:rPr>
        <w:t xml:space="preserve">）： </w:t>
      </w: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 xml:space="preserve">联系电话（传真）：  </w:t>
      </w: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 xml:space="preserve">开户银行名称：                      </w:t>
      </w:r>
    </w:p>
    <w:p>
      <w:pPr>
        <w:spacing w:line="360" w:lineRule="auto"/>
        <w:rPr>
          <w:rFonts w:hint="eastAsia" w:ascii="仿宋" w:hAnsi="仿宋" w:eastAsia="仿宋" w:cs="仿宋"/>
          <w:color w:val="auto"/>
          <w:highlight w:val="none"/>
        </w:rPr>
      </w:pPr>
      <w:r>
        <w:rPr>
          <w:rFonts w:hint="eastAsia" w:ascii="仿宋" w:hAnsi="仿宋" w:eastAsia="仿宋" w:cs="仿宋"/>
          <w:color w:val="auto"/>
          <w:szCs w:val="21"/>
          <w:highlight w:val="none"/>
        </w:rPr>
        <w:t xml:space="preserve">开户银行账号（基本账户）： </w:t>
      </w:r>
      <w:r>
        <w:rPr>
          <w:rFonts w:hint="eastAsia" w:ascii="仿宋" w:hAnsi="仿宋" w:eastAsia="仿宋" w:cs="仿宋"/>
          <w:color w:val="auto"/>
          <w:highlight w:val="none"/>
        </w:rPr>
        <w:t xml:space="preserve">         </w:t>
      </w: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开户银行地址：</w:t>
      </w: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开户银行电话：</w:t>
      </w:r>
    </w:p>
    <w:p>
      <w:pPr>
        <w:spacing w:line="360" w:lineRule="auto"/>
        <w:jc w:val="right"/>
        <w:rPr>
          <w:rFonts w:hint="eastAsia" w:ascii="仿宋" w:hAnsi="仿宋" w:eastAsia="仿宋" w:cs="仿宋"/>
          <w:color w:val="auto"/>
          <w:highlight w:val="none"/>
        </w:rPr>
      </w:pPr>
      <w:r>
        <w:rPr>
          <w:rFonts w:hint="eastAsia" w:ascii="仿宋" w:hAnsi="仿宋" w:eastAsia="仿宋" w:cs="仿宋"/>
          <w:color w:val="auto"/>
          <w:highlight w:val="none"/>
        </w:rPr>
        <w:t xml:space="preserve">                                                          年    月    日</w:t>
      </w:r>
    </w:p>
    <w:p>
      <w:pPr>
        <w:spacing w:line="360" w:lineRule="auto"/>
        <w:jc w:val="right"/>
        <w:rPr>
          <w:rFonts w:hint="eastAsia" w:ascii="仿宋" w:hAnsi="仿宋" w:eastAsia="仿宋" w:cs="仿宋"/>
          <w:color w:val="auto"/>
          <w:highlight w:val="none"/>
        </w:rPr>
      </w:pPr>
      <w:r>
        <w:rPr>
          <w:rFonts w:hint="eastAsia" w:ascii="仿宋" w:hAnsi="仿宋" w:eastAsia="仿宋" w:cs="仿宋"/>
          <w:b/>
          <w:color w:val="auto"/>
          <w:sz w:val="28"/>
          <w:szCs w:val="28"/>
          <w:highlight w:val="none"/>
        </w:rPr>
        <w:br w:type="page"/>
      </w:r>
    </w:p>
    <w:p>
      <w:pPr>
        <w:spacing w:line="360" w:lineRule="auto"/>
        <w:jc w:val="right"/>
        <w:rPr>
          <w:rFonts w:hint="eastAsia" w:ascii="仿宋" w:hAnsi="仿宋" w:eastAsia="仿宋" w:cs="仿宋"/>
          <w:color w:val="auto"/>
          <w:highlight w:val="none"/>
        </w:rPr>
      </w:pPr>
    </w:p>
    <w:p>
      <w:pPr>
        <w:spacing w:line="360" w:lineRule="auto"/>
        <w:jc w:val="right"/>
        <w:rPr>
          <w:rFonts w:hint="eastAsia" w:ascii="仿宋" w:hAnsi="仿宋" w:eastAsia="仿宋" w:cs="仿宋"/>
          <w:color w:val="auto"/>
          <w:highlight w:val="none"/>
        </w:rPr>
      </w:pP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投标一览表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2802"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标题</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802"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项目名称</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2802"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项目编号</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2802"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供应商（签章）</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2802"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法定代表人或其代理人</w:t>
            </w:r>
          </w:p>
          <w:p>
            <w:pPr>
              <w:spacing w:line="48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（签章）</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802"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投标总价</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802"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供货期</w:t>
            </w:r>
          </w:p>
          <w:p>
            <w:pPr>
              <w:spacing w:line="48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注：招标文件中关于供货期的要求具体详见“第三章合同条款前附表”</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802"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法定代表人</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802"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授权代理人</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sz w:val="24"/>
                <w:highlight w:val="none"/>
              </w:rPr>
            </w:pPr>
          </w:p>
        </w:tc>
      </w:tr>
    </w:tbl>
    <w:p>
      <w:pPr>
        <w:widowControl/>
        <w:spacing w:line="360" w:lineRule="auto"/>
        <w:jc w:val="left"/>
        <w:rPr>
          <w:rFonts w:hint="eastAsia" w:ascii="仿宋" w:hAnsi="仿宋" w:eastAsia="仿宋" w:cs="仿宋"/>
          <w:color w:val="auto"/>
          <w:szCs w:val="18"/>
          <w:highlight w:val="none"/>
        </w:rPr>
      </w:pPr>
    </w:p>
    <w:p>
      <w:pPr>
        <w:pStyle w:val="5"/>
        <w:spacing w:line="500" w:lineRule="exact"/>
        <w:jc w:val="left"/>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br w:type="page"/>
      </w:r>
      <w:r>
        <w:rPr>
          <w:rFonts w:hint="eastAsia" w:ascii="仿宋" w:hAnsi="仿宋" w:eastAsia="仿宋" w:cs="仿宋"/>
          <w:color w:val="auto"/>
          <w:sz w:val="30"/>
          <w:szCs w:val="30"/>
          <w:highlight w:val="none"/>
        </w:rPr>
        <w:t>二、投标分项报价表（格式）</w:t>
      </w: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投标分项报价表</w:t>
      </w:r>
    </w:p>
    <w:tbl>
      <w:tblPr>
        <w:tblStyle w:val="1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724"/>
        <w:gridCol w:w="1221"/>
        <w:gridCol w:w="525"/>
        <w:gridCol w:w="525"/>
        <w:gridCol w:w="724"/>
        <w:gridCol w:w="1121"/>
        <w:gridCol w:w="625"/>
        <w:gridCol w:w="923"/>
        <w:gridCol w:w="724"/>
        <w:gridCol w:w="525"/>
        <w:gridCol w:w="525"/>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426" w:type="dxa"/>
            <w:vMerge w:val="restart"/>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序</w:t>
            </w:r>
          </w:p>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号</w:t>
            </w:r>
          </w:p>
        </w:tc>
        <w:tc>
          <w:tcPr>
            <w:tcW w:w="724" w:type="dxa"/>
            <w:vMerge w:val="restart"/>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产品名称</w:t>
            </w:r>
          </w:p>
        </w:tc>
        <w:tc>
          <w:tcPr>
            <w:tcW w:w="1221" w:type="dxa"/>
            <w:vMerge w:val="restart"/>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货物名称及规格型号</w:t>
            </w:r>
          </w:p>
        </w:tc>
        <w:tc>
          <w:tcPr>
            <w:tcW w:w="525" w:type="dxa"/>
            <w:vMerge w:val="restart"/>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单位</w:t>
            </w:r>
          </w:p>
        </w:tc>
        <w:tc>
          <w:tcPr>
            <w:tcW w:w="525" w:type="dxa"/>
            <w:vMerge w:val="restart"/>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数量</w:t>
            </w:r>
          </w:p>
        </w:tc>
        <w:tc>
          <w:tcPr>
            <w:tcW w:w="5167" w:type="dxa"/>
            <w:gridSpan w:val="7"/>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单价（元）</w:t>
            </w:r>
          </w:p>
        </w:tc>
        <w:tc>
          <w:tcPr>
            <w:tcW w:w="1045"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exact"/>
        </w:trPr>
        <w:tc>
          <w:tcPr>
            <w:tcW w:w="426" w:type="dxa"/>
            <w:vMerge w:val="continue"/>
            <w:noWrap w:val="0"/>
            <w:vAlign w:val="center"/>
          </w:tcPr>
          <w:p>
            <w:pPr>
              <w:jc w:val="center"/>
              <w:rPr>
                <w:rFonts w:hint="eastAsia" w:ascii="仿宋" w:hAnsi="仿宋" w:eastAsia="仿宋" w:cs="仿宋"/>
                <w:color w:val="auto"/>
                <w:szCs w:val="21"/>
                <w:highlight w:val="none"/>
              </w:rPr>
            </w:pPr>
          </w:p>
        </w:tc>
        <w:tc>
          <w:tcPr>
            <w:tcW w:w="724" w:type="dxa"/>
            <w:vMerge w:val="continue"/>
            <w:noWrap w:val="0"/>
            <w:vAlign w:val="center"/>
          </w:tcPr>
          <w:p>
            <w:pPr>
              <w:jc w:val="center"/>
              <w:rPr>
                <w:rFonts w:hint="eastAsia" w:ascii="仿宋" w:hAnsi="仿宋" w:eastAsia="仿宋" w:cs="仿宋"/>
                <w:color w:val="auto"/>
                <w:szCs w:val="21"/>
                <w:highlight w:val="none"/>
              </w:rPr>
            </w:pPr>
          </w:p>
        </w:tc>
        <w:tc>
          <w:tcPr>
            <w:tcW w:w="1221" w:type="dxa"/>
            <w:vMerge w:val="continue"/>
            <w:noWrap w:val="0"/>
            <w:vAlign w:val="center"/>
          </w:tcPr>
          <w:p>
            <w:pPr>
              <w:jc w:val="center"/>
              <w:rPr>
                <w:rFonts w:hint="eastAsia" w:ascii="仿宋" w:hAnsi="仿宋" w:eastAsia="仿宋" w:cs="仿宋"/>
                <w:color w:val="auto"/>
                <w:szCs w:val="21"/>
                <w:highlight w:val="none"/>
              </w:rPr>
            </w:pPr>
          </w:p>
        </w:tc>
        <w:tc>
          <w:tcPr>
            <w:tcW w:w="525" w:type="dxa"/>
            <w:vMerge w:val="continue"/>
            <w:noWrap w:val="0"/>
            <w:vAlign w:val="center"/>
          </w:tcPr>
          <w:p>
            <w:pPr>
              <w:jc w:val="center"/>
              <w:rPr>
                <w:rFonts w:hint="eastAsia" w:ascii="仿宋" w:hAnsi="仿宋" w:eastAsia="仿宋" w:cs="仿宋"/>
                <w:color w:val="auto"/>
                <w:szCs w:val="21"/>
                <w:highlight w:val="none"/>
              </w:rPr>
            </w:pPr>
          </w:p>
        </w:tc>
        <w:tc>
          <w:tcPr>
            <w:tcW w:w="525" w:type="dxa"/>
            <w:vMerge w:val="continue"/>
            <w:noWrap w:val="0"/>
            <w:vAlign w:val="center"/>
          </w:tcPr>
          <w:p>
            <w:pPr>
              <w:jc w:val="center"/>
              <w:rPr>
                <w:rFonts w:hint="eastAsia" w:ascii="仿宋" w:hAnsi="仿宋" w:eastAsia="仿宋" w:cs="仿宋"/>
                <w:color w:val="auto"/>
                <w:szCs w:val="21"/>
                <w:highlight w:val="none"/>
              </w:rPr>
            </w:pPr>
          </w:p>
        </w:tc>
        <w:tc>
          <w:tcPr>
            <w:tcW w:w="724"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主机及</w:t>
            </w:r>
          </w:p>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标准附件</w:t>
            </w:r>
          </w:p>
        </w:tc>
        <w:tc>
          <w:tcPr>
            <w:tcW w:w="1121"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备品备件专用工具</w:t>
            </w:r>
          </w:p>
        </w:tc>
        <w:tc>
          <w:tcPr>
            <w:tcW w:w="625"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运杂费</w:t>
            </w:r>
          </w:p>
        </w:tc>
        <w:tc>
          <w:tcPr>
            <w:tcW w:w="923"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安装调试检验</w:t>
            </w:r>
          </w:p>
        </w:tc>
        <w:tc>
          <w:tcPr>
            <w:tcW w:w="724"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培训及</w:t>
            </w:r>
          </w:p>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技术服务</w:t>
            </w:r>
          </w:p>
        </w:tc>
        <w:tc>
          <w:tcPr>
            <w:tcW w:w="525"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其他</w:t>
            </w:r>
          </w:p>
        </w:tc>
        <w:tc>
          <w:tcPr>
            <w:tcW w:w="525"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小计</w:t>
            </w:r>
          </w:p>
        </w:tc>
        <w:tc>
          <w:tcPr>
            <w:tcW w:w="1045" w:type="dxa"/>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2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724" w:type="dxa"/>
            <w:noWrap w:val="0"/>
            <w:vAlign w:val="center"/>
          </w:tcPr>
          <w:p>
            <w:pPr>
              <w:jc w:val="center"/>
              <w:rPr>
                <w:rFonts w:hint="eastAsia" w:ascii="仿宋" w:hAnsi="仿宋" w:eastAsia="仿宋" w:cs="仿宋"/>
                <w:color w:val="auto"/>
                <w:szCs w:val="21"/>
                <w:highlight w:val="none"/>
              </w:rPr>
            </w:pPr>
          </w:p>
        </w:tc>
        <w:tc>
          <w:tcPr>
            <w:tcW w:w="1221"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724" w:type="dxa"/>
            <w:noWrap w:val="0"/>
            <w:vAlign w:val="center"/>
          </w:tcPr>
          <w:p>
            <w:pPr>
              <w:jc w:val="center"/>
              <w:rPr>
                <w:rFonts w:hint="eastAsia" w:ascii="仿宋" w:hAnsi="仿宋" w:eastAsia="仿宋" w:cs="仿宋"/>
                <w:color w:val="auto"/>
                <w:szCs w:val="21"/>
                <w:highlight w:val="none"/>
              </w:rPr>
            </w:pPr>
          </w:p>
        </w:tc>
        <w:tc>
          <w:tcPr>
            <w:tcW w:w="1121" w:type="dxa"/>
            <w:noWrap w:val="0"/>
            <w:vAlign w:val="center"/>
          </w:tcPr>
          <w:p>
            <w:pPr>
              <w:jc w:val="center"/>
              <w:rPr>
                <w:rFonts w:hint="eastAsia" w:ascii="仿宋" w:hAnsi="仿宋" w:eastAsia="仿宋" w:cs="仿宋"/>
                <w:color w:val="auto"/>
                <w:szCs w:val="21"/>
                <w:highlight w:val="none"/>
              </w:rPr>
            </w:pPr>
          </w:p>
        </w:tc>
        <w:tc>
          <w:tcPr>
            <w:tcW w:w="625" w:type="dxa"/>
            <w:noWrap w:val="0"/>
            <w:vAlign w:val="center"/>
          </w:tcPr>
          <w:p>
            <w:pPr>
              <w:jc w:val="center"/>
              <w:rPr>
                <w:rFonts w:hint="eastAsia" w:ascii="仿宋" w:hAnsi="仿宋" w:eastAsia="仿宋" w:cs="仿宋"/>
                <w:color w:val="auto"/>
                <w:szCs w:val="21"/>
                <w:highlight w:val="none"/>
              </w:rPr>
            </w:pPr>
          </w:p>
        </w:tc>
        <w:tc>
          <w:tcPr>
            <w:tcW w:w="923" w:type="dxa"/>
            <w:noWrap w:val="0"/>
            <w:vAlign w:val="center"/>
          </w:tcPr>
          <w:p>
            <w:pPr>
              <w:jc w:val="center"/>
              <w:rPr>
                <w:rFonts w:hint="eastAsia" w:ascii="仿宋" w:hAnsi="仿宋" w:eastAsia="仿宋" w:cs="仿宋"/>
                <w:color w:val="auto"/>
                <w:szCs w:val="21"/>
                <w:highlight w:val="none"/>
              </w:rPr>
            </w:pPr>
          </w:p>
        </w:tc>
        <w:tc>
          <w:tcPr>
            <w:tcW w:w="724"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1045" w:type="dxa"/>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2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2</w:t>
            </w:r>
          </w:p>
        </w:tc>
        <w:tc>
          <w:tcPr>
            <w:tcW w:w="724" w:type="dxa"/>
            <w:noWrap w:val="0"/>
            <w:vAlign w:val="center"/>
          </w:tcPr>
          <w:p>
            <w:pPr>
              <w:jc w:val="center"/>
              <w:rPr>
                <w:rFonts w:hint="eastAsia" w:ascii="仿宋" w:hAnsi="仿宋" w:eastAsia="仿宋" w:cs="仿宋"/>
                <w:color w:val="auto"/>
                <w:szCs w:val="21"/>
                <w:highlight w:val="none"/>
              </w:rPr>
            </w:pPr>
          </w:p>
        </w:tc>
        <w:tc>
          <w:tcPr>
            <w:tcW w:w="1221"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724" w:type="dxa"/>
            <w:noWrap w:val="0"/>
            <w:vAlign w:val="center"/>
          </w:tcPr>
          <w:p>
            <w:pPr>
              <w:jc w:val="center"/>
              <w:rPr>
                <w:rFonts w:hint="eastAsia" w:ascii="仿宋" w:hAnsi="仿宋" w:eastAsia="仿宋" w:cs="仿宋"/>
                <w:color w:val="auto"/>
                <w:szCs w:val="21"/>
                <w:highlight w:val="none"/>
              </w:rPr>
            </w:pPr>
          </w:p>
        </w:tc>
        <w:tc>
          <w:tcPr>
            <w:tcW w:w="1121" w:type="dxa"/>
            <w:noWrap w:val="0"/>
            <w:vAlign w:val="center"/>
          </w:tcPr>
          <w:p>
            <w:pPr>
              <w:jc w:val="center"/>
              <w:rPr>
                <w:rFonts w:hint="eastAsia" w:ascii="仿宋" w:hAnsi="仿宋" w:eastAsia="仿宋" w:cs="仿宋"/>
                <w:color w:val="auto"/>
                <w:szCs w:val="21"/>
                <w:highlight w:val="none"/>
              </w:rPr>
            </w:pPr>
          </w:p>
        </w:tc>
        <w:tc>
          <w:tcPr>
            <w:tcW w:w="625" w:type="dxa"/>
            <w:noWrap w:val="0"/>
            <w:vAlign w:val="center"/>
          </w:tcPr>
          <w:p>
            <w:pPr>
              <w:jc w:val="center"/>
              <w:rPr>
                <w:rFonts w:hint="eastAsia" w:ascii="仿宋" w:hAnsi="仿宋" w:eastAsia="仿宋" w:cs="仿宋"/>
                <w:color w:val="auto"/>
                <w:szCs w:val="21"/>
                <w:highlight w:val="none"/>
              </w:rPr>
            </w:pPr>
          </w:p>
        </w:tc>
        <w:tc>
          <w:tcPr>
            <w:tcW w:w="923" w:type="dxa"/>
            <w:noWrap w:val="0"/>
            <w:vAlign w:val="center"/>
          </w:tcPr>
          <w:p>
            <w:pPr>
              <w:jc w:val="center"/>
              <w:rPr>
                <w:rFonts w:hint="eastAsia" w:ascii="仿宋" w:hAnsi="仿宋" w:eastAsia="仿宋" w:cs="仿宋"/>
                <w:color w:val="auto"/>
                <w:szCs w:val="21"/>
                <w:highlight w:val="none"/>
              </w:rPr>
            </w:pPr>
          </w:p>
        </w:tc>
        <w:tc>
          <w:tcPr>
            <w:tcW w:w="724"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1045" w:type="dxa"/>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2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3</w:t>
            </w:r>
          </w:p>
        </w:tc>
        <w:tc>
          <w:tcPr>
            <w:tcW w:w="724" w:type="dxa"/>
            <w:noWrap w:val="0"/>
            <w:vAlign w:val="center"/>
          </w:tcPr>
          <w:p>
            <w:pPr>
              <w:jc w:val="center"/>
              <w:rPr>
                <w:rFonts w:hint="eastAsia" w:ascii="仿宋" w:hAnsi="仿宋" w:eastAsia="仿宋" w:cs="仿宋"/>
                <w:color w:val="auto"/>
                <w:szCs w:val="21"/>
                <w:highlight w:val="none"/>
              </w:rPr>
            </w:pPr>
          </w:p>
        </w:tc>
        <w:tc>
          <w:tcPr>
            <w:tcW w:w="1221"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724" w:type="dxa"/>
            <w:noWrap w:val="0"/>
            <w:vAlign w:val="center"/>
          </w:tcPr>
          <w:p>
            <w:pPr>
              <w:jc w:val="center"/>
              <w:rPr>
                <w:rFonts w:hint="eastAsia" w:ascii="仿宋" w:hAnsi="仿宋" w:eastAsia="仿宋" w:cs="仿宋"/>
                <w:color w:val="auto"/>
                <w:szCs w:val="21"/>
                <w:highlight w:val="none"/>
              </w:rPr>
            </w:pPr>
          </w:p>
        </w:tc>
        <w:tc>
          <w:tcPr>
            <w:tcW w:w="1121" w:type="dxa"/>
            <w:noWrap w:val="0"/>
            <w:vAlign w:val="center"/>
          </w:tcPr>
          <w:p>
            <w:pPr>
              <w:jc w:val="center"/>
              <w:rPr>
                <w:rFonts w:hint="eastAsia" w:ascii="仿宋" w:hAnsi="仿宋" w:eastAsia="仿宋" w:cs="仿宋"/>
                <w:color w:val="auto"/>
                <w:szCs w:val="21"/>
                <w:highlight w:val="none"/>
              </w:rPr>
            </w:pPr>
          </w:p>
        </w:tc>
        <w:tc>
          <w:tcPr>
            <w:tcW w:w="625" w:type="dxa"/>
            <w:noWrap w:val="0"/>
            <w:vAlign w:val="center"/>
          </w:tcPr>
          <w:p>
            <w:pPr>
              <w:jc w:val="center"/>
              <w:rPr>
                <w:rFonts w:hint="eastAsia" w:ascii="仿宋" w:hAnsi="仿宋" w:eastAsia="仿宋" w:cs="仿宋"/>
                <w:color w:val="auto"/>
                <w:szCs w:val="21"/>
                <w:highlight w:val="none"/>
              </w:rPr>
            </w:pPr>
          </w:p>
        </w:tc>
        <w:tc>
          <w:tcPr>
            <w:tcW w:w="923" w:type="dxa"/>
            <w:noWrap w:val="0"/>
            <w:vAlign w:val="center"/>
          </w:tcPr>
          <w:p>
            <w:pPr>
              <w:jc w:val="center"/>
              <w:rPr>
                <w:rFonts w:hint="eastAsia" w:ascii="仿宋" w:hAnsi="仿宋" w:eastAsia="仿宋" w:cs="仿宋"/>
                <w:color w:val="auto"/>
                <w:szCs w:val="21"/>
                <w:highlight w:val="none"/>
              </w:rPr>
            </w:pPr>
          </w:p>
        </w:tc>
        <w:tc>
          <w:tcPr>
            <w:tcW w:w="724"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1045" w:type="dxa"/>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2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w:t>
            </w:r>
          </w:p>
        </w:tc>
        <w:tc>
          <w:tcPr>
            <w:tcW w:w="724" w:type="dxa"/>
            <w:noWrap w:val="0"/>
            <w:vAlign w:val="center"/>
          </w:tcPr>
          <w:p>
            <w:pPr>
              <w:jc w:val="center"/>
              <w:rPr>
                <w:rFonts w:hint="eastAsia" w:ascii="仿宋" w:hAnsi="仿宋" w:eastAsia="仿宋" w:cs="仿宋"/>
                <w:color w:val="auto"/>
                <w:szCs w:val="21"/>
                <w:highlight w:val="none"/>
              </w:rPr>
            </w:pPr>
          </w:p>
        </w:tc>
        <w:tc>
          <w:tcPr>
            <w:tcW w:w="1221"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724" w:type="dxa"/>
            <w:noWrap w:val="0"/>
            <w:vAlign w:val="center"/>
          </w:tcPr>
          <w:p>
            <w:pPr>
              <w:jc w:val="center"/>
              <w:rPr>
                <w:rFonts w:hint="eastAsia" w:ascii="仿宋" w:hAnsi="仿宋" w:eastAsia="仿宋" w:cs="仿宋"/>
                <w:color w:val="auto"/>
                <w:szCs w:val="21"/>
                <w:highlight w:val="none"/>
              </w:rPr>
            </w:pPr>
          </w:p>
        </w:tc>
        <w:tc>
          <w:tcPr>
            <w:tcW w:w="1121" w:type="dxa"/>
            <w:noWrap w:val="0"/>
            <w:vAlign w:val="center"/>
          </w:tcPr>
          <w:p>
            <w:pPr>
              <w:jc w:val="center"/>
              <w:rPr>
                <w:rFonts w:hint="eastAsia" w:ascii="仿宋" w:hAnsi="仿宋" w:eastAsia="仿宋" w:cs="仿宋"/>
                <w:color w:val="auto"/>
                <w:szCs w:val="21"/>
                <w:highlight w:val="none"/>
              </w:rPr>
            </w:pPr>
          </w:p>
        </w:tc>
        <w:tc>
          <w:tcPr>
            <w:tcW w:w="625" w:type="dxa"/>
            <w:noWrap w:val="0"/>
            <w:vAlign w:val="center"/>
          </w:tcPr>
          <w:p>
            <w:pPr>
              <w:jc w:val="center"/>
              <w:rPr>
                <w:rFonts w:hint="eastAsia" w:ascii="仿宋" w:hAnsi="仿宋" w:eastAsia="仿宋" w:cs="仿宋"/>
                <w:color w:val="auto"/>
                <w:szCs w:val="21"/>
                <w:highlight w:val="none"/>
              </w:rPr>
            </w:pPr>
          </w:p>
        </w:tc>
        <w:tc>
          <w:tcPr>
            <w:tcW w:w="923" w:type="dxa"/>
            <w:noWrap w:val="0"/>
            <w:vAlign w:val="center"/>
          </w:tcPr>
          <w:p>
            <w:pPr>
              <w:jc w:val="center"/>
              <w:rPr>
                <w:rFonts w:hint="eastAsia" w:ascii="仿宋" w:hAnsi="仿宋" w:eastAsia="仿宋" w:cs="仿宋"/>
                <w:color w:val="auto"/>
                <w:szCs w:val="21"/>
                <w:highlight w:val="none"/>
              </w:rPr>
            </w:pPr>
          </w:p>
        </w:tc>
        <w:tc>
          <w:tcPr>
            <w:tcW w:w="724"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1045" w:type="dxa"/>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26" w:type="dxa"/>
            <w:noWrap w:val="0"/>
            <w:vAlign w:val="center"/>
          </w:tcPr>
          <w:p>
            <w:pPr>
              <w:jc w:val="center"/>
              <w:rPr>
                <w:rFonts w:hint="eastAsia" w:ascii="仿宋" w:hAnsi="仿宋" w:eastAsia="仿宋" w:cs="仿宋"/>
                <w:color w:val="auto"/>
                <w:szCs w:val="21"/>
                <w:highlight w:val="none"/>
              </w:rPr>
            </w:pPr>
          </w:p>
        </w:tc>
        <w:tc>
          <w:tcPr>
            <w:tcW w:w="724" w:type="dxa"/>
            <w:noWrap w:val="0"/>
            <w:vAlign w:val="center"/>
          </w:tcPr>
          <w:p>
            <w:pPr>
              <w:jc w:val="center"/>
              <w:rPr>
                <w:rFonts w:hint="eastAsia" w:ascii="仿宋" w:hAnsi="仿宋" w:eastAsia="仿宋" w:cs="仿宋"/>
                <w:color w:val="auto"/>
                <w:szCs w:val="21"/>
                <w:highlight w:val="none"/>
              </w:rPr>
            </w:pPr>
          </w:p>
        </w:tc>
        <w:tc>
          <w:tcPr>
            <w:tcW w:w="1221"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724" w:type="dxa"/>
            <w:noWrap w:val="0"/>
            <w:vAlign w:val="center"/>
          </w:tcPr>
          <w:p>
            <w:pPr>
              <w:jc w:val="center"/>
              <w:rPr>
                <w:rFonts w:hint="eastAsia" w:ascii="仿宋" w:hAnsi="仿宋" w:eastAsia="仿宋" w:cs="仿宋"/>
                <w:color w:val="auto"/>
                <w:szCs w:val="21"/>
                <w:highlight w:val="none"/>
              </w:rPr>
            </w:pPr>
          </w:p>
        </w:tc>
        <w:tc>
          <w:tcPr>
            <w:tcW w:w="1121" w:type="dxa"/>
            <w:noWrap w:val="0"/>
            <w:vAlign w:val="center"/>
          </w:tcPr>
          <w:p>
            <w:pPr>
              <w:jc w:val="center"/>
              <w:rPr>
                <w:rFonts w:hint="eastAsia" w:ascii="仿宋" w:hAnsi="仿宋" w:eastAsia="仿宋" w:cs="仿宋"/>
                <w:color w:val="auto"/>
                <w:szCs w:val="21"/>
                <w:highlight w:val="none"/>
              </w:rPr>
            </w:pPr>
          </w:p>
        </w:tc>
        <w:tc>
          <w:tcPr>
            <w:tcW w:w="625" w:type="dxa"/>
            <w:noWrap w:val="0"/>
            <w:vAlign w:val="center"/>
          </w:tcPr>
          <w:p>
            <w:pPr>
              <w:jc w:val="center"/>
              <w:rPr>
                <w:rFonts w:hint="eastAsia" w:ascii="仿宋" w:hAnsi="仿宋" w:eastAsia="仿宋" w:cs="仿宋"/>
                <w:color w:val="auto"/>
                <w:szCs w:val="21"/>
                <w:highlight w:val="none"/>
              </w:rPr>
            </w:pPr>
          </w:p>
        </w:tc>
        <w:tc>
          <w:tcPr>
            <w:tcW w:w="923" w:type="dxa"/>
            <w:noWrap w:val="0"/>
            <w:vAlign w:val="center"/>
          </w:tcPr>
          <w:p>
            <w:pPr>
              <w:jc w:val="center"/>
              <w:rPr>
                <w:rFonts w:hint="eastAsia" w:ascii="仿宋" w:hAnsi="仿宋" w:eastAsia="仿宋" w:cs="仿宋"/>
                <w:color w:val="auto"/>
                <w:szCs w:val="21"/>
                <w:highlight w:val="none"/>
              </w:rPr>
            </w:pPr>
          </w:p>
        </w:tc>
        <w:tc>
          <w:tcPr>
            <w:tcW w:w="724"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1045" w:type="dxa"/>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50" w:type="dxa"/>
            <w:gridSpan w:val="2"/>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投标报价</w:t>
            </w:r>
          </w:p>
        </w:tc>
        <w:tc>
          <w:tcPr>
            <w:tcW w:w="1221"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724" w:type="dxa"/>
            <w:noWrap w:val="0"/>
            <w:vAlign w:val="center"/>
          </w:tcPr>
          <w:p>
            <w:pPr>
              <w:jc w:val="center"/>
              <w:rPr>
                <w:rFonts w:hint="eastAsia" w:ascii="仿宋" w:hAnsi="仿宋" w:eastAsia="仿宋" w:cs="仿宋"/>
                <w:color w:val="auto"/>
                <w:szCs w:val="21"/>
                <w:highlight w:val="none"/>
              </w:rPr>
            </w:pPr>
          </w:p>
        </w:tc>
        <w:tc>
          <w:tcPr>
            <w:tcW w:w="1121" w:type="dxa"/>
            <w:noWrap w:val="0"/>
            <w:vAlign w:val="center"/>
          </w:tcPr>
          <w:p>
            <w:pPr>
              <w:jc w:val="center"/>
              <w:rPr>
                <w:rFonts w:hint="eastAsia" w:ascii="仿宋" w:hAnsi="仿宋" w:eastAsia="仿宋" w:cs="仿宋"/>
                <w:color w:val="auto"/>
                <w:szCs w:val="21"/>
                <w:highlight w:val="none"/>
              </w:rPr>
            </w:pPr>
          </w:p>
        </w:tc>
        <w:tc>
          <w:tcPr>
            <w:tcW w:w="625" w:type="dxa"/>
            <w:noWrap w:val="0"/>
            <w:vAlign w:val="center"/>
          </w:tcPr>
          <w:p>
            <w:pPr>
              <w:jc w:val="center"/>
              <w:rPr>
                <w:rFonts w:hint="eastAsia" w:ascii="仿宋" w:hAnsi="仿宋" w:eastAsia="仿宋" w:cs="仿宋"/>
                <w:color w:val="auto"/>
                <w:szCs w:val="21"/>
                <w:highlight w:val="none"/>
              </w:rPr>
            </w:pPr>
          </w:p>
        </w:tc>
        <w:tc>
          <w:tcPr>
            <w:tcW w:w="923" w:type="dxa"/>
            <w:noWrap w:val="0"/>
            <w:vAlign w:val="center"/>
          </w:tcPr>
          <w:p>
            <w:pPr>
              <w:jc w:val="center"/>
              <w:rPr>
                <w:rFonts w:hint="eastAsia" w:ascii="仿宋" w:hAnsi="仿宋" w:eastAsia="仿宋" w:cs="仿宋"/>
                <w:color w:val="auto"/>
                <w:szCs w:val="21"/>
                <w:highlight w:val="none"/>
              </w:rPr>
            </w:pPr>
          </w:p>
        </w:tc>
        <w:tc>
          <w:tcPr>
            <w:tcW w:w="724"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1045" w:type="dxa"/>
            <w:noWrap w:val="0"/>
            <w:vAlign w:val="center"/>
          </w:tcPr>
          <w:p>
            <w:pPr>
              <w:jc w:val="center"/>
              <w:rPr>
                <w:rFonts w:hint="eastAsia" w:ascii="仿宋" w:hAnsi="仿宋" w:eastAsia="仿宋" w:cs="仿宋"/>
                <w:color w:val="auto"/>
                <w:szCs w:val="21"/>
                <w:highlight w:val="none"/>
              </w:rPr>
            </w:pPr>
          </w:p>
        </w:tc>
      </w:tr>
    </w:tbl>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供应商(盖单位印章)</w:t>
      </w: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 xml:space="preserve">法定代表人（盖印章） </w:t>
      </w: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备注：</w:t>
      </w:r>
    </w:p>
    <w:p>
      <w:pPr>
        <w:spacing w:line="360" w:lineRule="auto"/>
        <w:ind w:firstLine="422" w:firstLineChars="200"/>
        <w:rPr>
          <w:rFonts w:hint="eastAsia" w:ascii="仿宋" w:hAnsi="仿宋" w:eastAsia="仿宋" w:cs="仿宋"/>
          <w:b/>
          <w:color w:val="auto"/>
          <w:highlight w:val="none"/>
        </w:rPr>
      </w:pPr>
      <w:r>
        <w:rPr>
          <w:rFonts w:hint="eastAsia" w:ascii="仿宋" w:hAnsi="仿宋" w:eastAsia="仿宋" w:cs="仿宋"/>
          <w:b/>
          <w:color w:val="auto"/>
          <w:highlight w:val="none"/>
        </w:rPr>
        <w:t>1.如果按单价计算的结果与总价不一致，以单价为准修正总价。</w:t>
      </w:r>
      <w:r>
        <w:rPr>
          <w:rFonts w:hint="eastAsia" w:ascii="仿宋" w:hAnsi="仿宋" w:eastAsia="仿宋" w:cs="仿宋"/>
          <w:b/>
          <w:color w:val="auto"/>
          <w:highlight w:val="none"/>
        </w:rPr>
        <w:br w:type="textWrapping"/>
      </w:r>
      <w:r>
        <w:rPr>
          <w:rFonts w:hint="eastAsia" w:ascii="仿宋" w:hAnsi="仿宋" w:eastAsia="仿宋" w:cs="仿宋"/>
          <w:b/>
          <w:color w:val="auto"/>
          <w:highlight w:val="none"/>
        </w:rPr>
        <w:t>  </w:t>
      </w:r>
      <w:r>
        <w:rPr>
          <w:rFonts w:hint="eastAsia" w:ascii="仿宋" w:hAnsi="仿宋" w:eastAsia="仿宋" w:cs="仿宋"/>
          <w:b/>
          <w:color w:val="auto"/>
          <w:highlight w:val="none"/>
          <w:lang w:val="en-US" w:eastAsia="zh-CN"/>
        </w:rPr>
        <w:t xml:space="preserve">   </w:t>
      </w:r>
      <w:r>
        <w:rPr>
          <w:rFonts w:hint="eastAsia" w:ascii="仿宋" w:hAnsi="仿宋" w:eastAsia="仿宋" w:cs="仿宋"/>
          <w:b/>
          <w:color w:val="auto"/>
          <w:highlight w:val="none"/>
        </w:rPr>
        <w:t>2.如果不提供详细分项报价或未按招标文件《采购需求一览表》中的产品名称提供详细分项报价，将视为没有实质性响应招标文件，作无效投标处理。</w:t>
      </w:r>
      <w:r>
        <w:rPr>
          <w:rFonts w:hint="eastAsia" w:ascii="仿宋" w:hAnsi="仿宋" w:eastAsia="仿宋" w:cs="仿宋"/>
          <w:b/>
          <w:color w:val="auto"/>
          <w:highlight w:val="none"/>
        </w:rPr>
        <w:br w:type="textWrapping"/>
      </w:r>
      <w:r>
        <w:rPr>
          <w:rFonts w:hint="eastAsia" w:ascii="仿宋" w:hAnsi="仿宋" w:eastAsia="仿宋" w:cs="仿宋"/>
          <w:b/>
          <w:color w:val="auto"/>
          <w:highlight w:val="none"/>
        </w:rPr>
        <w:t>  </w:t>
      </w:r>
      <w:r>
        <w:rPr>
          <w:rFonts w:hint="eastAsia" w:ascii="仿宋" w:hAnsi="仿宋" w:eastAsia="仿宋" w:cs="仿宋"/>
          <w:b/>
          <w:color w:val="auto"/>
          <w:highlight w:val="none"/>
          <w:lang w:val="en-US" w:eastAsia="zh-CN"/>
        </w:rPr>
        <w:t xml:space="preserve">   </w:t>
      </w:r>
      <w:r>
        <w:rPr>
          <w:rFonts w:hint="eastAsia" w:ascii="仿宋" w:hAnsi="仿宋" w:eastAsia="仿宋" w:cs="仿宋"/>
          <w:b/>
          <w:color w:val="auto"/>
          <w:highlight w:val="none"/>
        </w:rPr>
        <w:t>3.上述单价为综合单价，应包含一切税费。</w:t>
      </w:r>
    </w:p>
    <w:p>
      <w:pPr>
        <w:spacing w:line="360" w:lineRule="auto"/>
        <w:ind w:firstLine="422" w:firstLineChars="200"/>
        <w:rPr>
          <w:rFonts w:hint="eastAsia" w:ascii="仿宋" w:hAnsi="仿宋" w:eastAsia="仿宋" w:cs="仿宋"/>
          <w:b/>
          <w:color w:val="auto"/>
          <w:highlight w:val="none"/>
        </w:rPr>
      </w:pPr>
      <w:r>
        <w:rPr>
          <w:rFonts w:hint="eastAsia" w:ascii="仿宋" w:hAnsi="仿宋" w:eastAsia="仿宋" w:cs="仿宋"/>
          <w:b/>
          <w:color w:val="auto"/>
          <w:highlight w:val="none"/>
        </w:rPr>
        <w:t>4.供应商根据项目实际填写，表中单项，项目招标要求不涉及的可留空或自行调整。</w:t>
      </w:r>
    </w:p>
    <w:p>
      <w:pPr>
        <w:spacing w:line="360" w:lineRule="auto"/>
        <w:ind w:firstLine="422" w:firstLineChars="200"/>
        <w:rPr>
          <w:rFonts w:hint="eastAsia" w:ascii="仿宋" w:hAnsi="仿宋" w:eastAsia="仿宋" w:cs="仿宋"/>
          <w:color w:val="auto"/>
          <w:highlight w:val="none"/>
        </w:rPr>
      </w:pPr>
      <w:r>
        <w:rPr>
          <w:rFonts w:hint="eastAsia" w:ascii="仿宋" w:hAnsi="仿宋" w:eastAsia="仿宋" w:cs="仿宋"/>
          <w:b/>
          <w:color w:val="auto"/>
          <w:highlight w:val="none"/>
        </w:rPr>
        <w:t>5.表格不够可以自行加页；具体配置请供应商填写完全，没有填写完全的则按无此配置评标。</w:t>
      </w:r>
    </w:p>
    <w:p>
      <w:pPr>
        <w:pStyle w:val="5"/>
        <w:spacing w:line="500" w:lineRule="exact"/>
        <w:jc w:val="left"/>
        <w:rPr>
          <w:rFonts w:hint="eastAsia" w:ascii="仿宋" w:hAnsi="仿宋" w:eastAsia="仿宋" w:cs="仿宋"/>
          <w:color w:val="auto"/>
          <w:sz w:val="30"/>
          <w:szCs w:val="30"/>
          <w:highlight w:val="none"/>
        </w:rPr>
      </w:pPr>
      <w:r>
        <w:rPr>
          <w:rFonts w:hint="eastAsia" w:ascii="仿宋" w:hAnsi="仿宋" w:eastAsia="仿宋" w:cs="仿宋"/>
          <w:bCs/>
          <w:color w:val="auto"/>
          <w:szCs w:val="32"/>
          <w:highlight w:val="none"/>
        </w:rPr>
        <w:br w:type="page"/>
      </w:r>
      <w:r>
        <w:rPr>
          <w:rFonts w:hint="eastAsia" w:ascii="仿宋" w:hAnsi="仿宋" w:eastAsia="仿宋" w:cs="仿宋"/>
          <w:color w:val="auto"/>
          <w:sz w:val="30"/>
          <w:szCs w:val="30"/>
          <w:highlight w:val="none"/>
        </w:rPr>
        <w:t>三、交货一览表（格式）</w:t>
      </w: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交货一览表</w:t>
      </w:r>
    </w:p>
    <w:tbl>
      <w:tblPr>
        <w:tblStyle w:val="18"/>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32"/>
        <w:gridCol w:w="653"/>
        <w:gridCol w:w="736"/>
        <w:gridCol w:w="1109"/>
        <w:gridCol w:w="851"/>
        <w:gridCol w:w="1363"/>
        <w:gridCol w:w="1007"/>
        <w:gridCol w:w="88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exact"/>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lang w:bidi="ar"/>
              </w:rPr>
              <w:t>序号</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lang w:bidi="ar"/>
              </w:rPr>
              <w:t>货物名称及规格型号</w:t>
            </w:r>
          </w:p>
        </w:tc>
        <w:tc>
          <w:tcPr>
            <w:tcW w:w="6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lang w:bidi="ar"/>
              </w:rPr>
              <w:t>单位</w:t>
            </w:r>
          </w:p>
        </w:tc>
        <w:tc>
          <w:tcPr>
            <w:tcW w:w="7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lang w:bidi="ar"/>
              </w:rPr>
              <w:t>数量</w:t>
            </w:r>
          </w:p>
        </w:tc>
        <w:tc>
          <w:tcPr>
            <w:tcW w:w="11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lang w:bidi="ar"/>
              </w:rPr>
            </w:pPr>
            <w:r>
              <w:rPr>
                <w:rFonts w:hint="eastAsia" w:ascii="仿宋" w:hAnsi="仿宋" w:eastAsia="仿宋" w:cs="仿宋"/>
                <w:color w:val="auto"/>
                <w:szCs w:val="21"/>
                <w:highlight w:val="none"/>
                <w:lang w:bidi="ar"/>
              </w:rPr>
              <w:t>产品品牌</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lang w:bidi="ar"/>
              </w:rPr>
            </w:pPr>
            <w:r>
              <w:rPr>
                <w:rFonts w:hint="eastAsia" w:ascii="仿宋" w:hAnsi="仿宋" w:eastAsia="仿宋" w:cs="仿宋"/>
                <w:color w:val="auto"/>
                <w:szCs w:val="21"/>
                <w:highlight w:val="none"/>
                <w:lang w:bidi="ar"/>
              </w:rPr>
              <w:t>原产地</w:t>
            </w:r>
          </w:p>
        </w:tc>
        <w:tc>
          <w:tcPr>
            <w:tcW w:w="13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lang w:bidi="ar"/>
              </w:rPr>
              <w:t>制造商名称</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lang w:bidi="ar"/>
              </w:rPr>
              <w:t>执行质量标准</w:t>
            </w:r>
          </w:p>
        </w:tc>
        <w:tc>
          <w:tcPr>
            <w:tcW w:w="8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lang w:bidi="ar"/>
              </w:rPr>
              <w:t>交货期</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lang w:bidi="ar"/>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lang w:bidi="ar"/>
              </w:rPr>
              <w:t>1</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6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3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lang w:bidi="ar"/>
              </w:rPr>
              <w:t>2</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6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3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lang w:bidi="ar"/>
              </w:rPr>
              <w:t>3</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6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3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lang w:bidi="ar"/>
              </w:rPr>
              <w:t>…</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6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3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6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3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6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3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6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3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r>
    </w:tbl>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供应商(盖单位印章)</w:t>
      </w: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法定代表人（盖印章）</w:t>
      </w: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备注：</w:t>
      </w:r>
    </w:p>
    <w:p>
      <w:pPr>
        <w:spacing w:line="360" w:lineRule="auto"/>
        <w:ind w:firstLine="422" w:firstLineChars="200"/>
        <w:rPr>
          <w:rFonts w:hint="eastAsia" w:ascii="仿宋" w:hAnsi="仿宋" w:eastAsia="仿宋" w:cs="仿宋"/>
          <w:b/>
          <w:color w:val="auto"/>
          <w:highlight w:val="none"/>
        </w:rPr>
      </w:pPr>
      <w:r>
        <w:rPr>
          <w:rFonts w:hint="eastAsia" w:ascii="仿宋" w:hAnsi="仿宋" w:eastAsia="仿宋" w:cs="仿宋"/>
          <w:b/>
          <w:color w:val="auto"/>
          <w:highlight w:val="none"/>
        </w:rPr>
        <w:t>1.本表和投标分项报价表的序号、货物名称及规格型号、数量等应一致。</w:t>
      </w:r>
    </w:p>
    <w:p>
      <w:pPr>
        <w:spacing w:line="360" w:lineRule="auto"/>
        <w:ind w:firstLine="422" w:firstLineChars="200"/>
        <w:rPr>
          <w:rFonts w:hint="eastAsia" w:ascii="仿宋" w:hAnsi="仿宋" w:eastAsia="仿宋" w:cs="仿宋"/>
          <w:b/>
          <w:color w:val="auto"/>
          <w:highlight w:val="none"/>
        </w:rPr>
      </w:pPr>
      <w:r>
        <w:rPr>
          <w:rFonts w:hint="eastAsia" w:ascii="仿宋" w:hAnsi="仿宋" w:eastAsia="仿宋" w:cs="仿宋"/>
          <w:b/>
          <w:color w:val="auto"/>
          <w:highlight w:val="none"/>
        </w:rPr>
        <w:t>2.供应商根据项目实际填写，表中单项，项目招标要求不涉及的可留空或自行调整。</w:t>
      </w:r>
    </w:p>
    <w:p>
      <w:pPr>
        <w:spacing w:line="360" w:lineRule="auto"/>
        <w:ind w:firstLine="420" w:firstLineChars="200"/>
        <w:rPr>
          <w:rFonts w:hint="eastAsia" w:ascii="仿宋" w:hAnsi="仿宋" w:eastAsia="仿宋" w:cs="仿宋"/>
          <w:color w:val="auto"/>
          <w:sz w:val="30"/>
          <w:szCs w:val="30"/>
          <w:highlight w:val="none"/>
          <w:lang w:val="en-US" w:eastAsia="zh-CN"/>
        </w:rPr>
      </w:pPr>
      <w:r>
        <w:rPr>
          <w:rFonts w:hint="eastAsia" w:ascii="仿宋" w:hAnsi="仿宋" w:eastAsia="仿宋" w:cs="仿宋"/>
          <w:color w:val="auto"/>
          <w:highlight w:val="none"/>
          <w:lang w:bidi="ar"/>
        </w:rPr>
        <w:br w:type="page"/>
      </w:r>
    </w:p>
    <w:p>
      <w:pPr>
        <w:pStyle w:val="5"/>
        <w:spacing w:line="500" w:lineRule="exact"/>
        <w:jc w:val="left"/>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四</w:t>
      </w:r>
      <w:r>
        <w:rPr>
          <w:rFonts w:hint="eastAsia" w:ascii="仿宋" w:hAnsi="仿宋" w:eastAsia="仿宋" w:cs="仿宋"/>
          <w:color w:val="auto"/>
          <w:sz w:val="30"/>
          <w:szCs w:val="30"/>
          <w:highlight w:val="none"/>
        </w:rPr>
        <w:t>、资格证明文件（格式）</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供应商按招标公告及</w:t>
      </w:r>
      <w:r>
        <w:rPr>
          <w:rFonts w:hint="eastAsia" w:ascii="仿宋" w:hAnsi="仿宋" w:eastAsia="仿宋" w:cs="仿宋"/>
          <w:color w:val="auto"/>
          <w:highlight w:val="none"/>
          <w:lang w:val="en-US" w:eastAsia="zh-CN"/>
        </w:rPr>
        <w:t>供应商</w:t>
      </w:r>
      <w:r>
        <w:rPr>
          <w:rFonts w:hint="eastAsia" w:ascii="仿宋" w:hAnsi="仿宋" w:eastAsia="仿宋" w:cs="仿宋"/>
          <w:color w:val="auto"/>
          <w:highlight w:val="none"/>
        </w:rPr>
        <w:t>须知前附表要求提供证明材料，包括</w:t>
      </w:r>
      <w:r>
        <w:rPr>
          <w:rFonts w:hint="eastAsia" w:ascii="仿宋" w:hAnsi="仿宋" w:eastAsia="仿宋" w:cs="仿宋"/>
          <w:b/>
          <w:bCs/>
          <w:color w:val="auto"/>
          <w:highlight w:val="none"/>
        </w:rPr>
        <w:t>营业执照（副本）扫描件</w:t>
      </w:r>
      <w:r>
        <w:rPr>
          <w:rFonts w:hint="eastAsia" w:ascii="仿宋" w:hAnsi="仿宋" w:eastAsia="仿宋" w:cs="仿宋"/>
          <w:color w:val="auto"/>
          <w:highlight w:val="none"/>
        </w:rPr>
        <w:t>、</w:t>
      </w:r>
      <w:r>
        <w:rPr>
          <w:rFonts w:hint="eastAsia" w:ascii="仿宋" w:hAnsi="仿宋" w:eastAsia="仿宋" w:cs="仿宋"/>
          <w:b/>
          <w:bCs/>
          <w:color w:val="auto"/>
          <w:highlight w:val="none"/>
        </w:rPr>
        <w:t>资质证书（副本）扫描件</w:t>
      </w:r>
      <w:r>
        <w:rPr>
          <w:rFonts w:hint="eastAsia" w:ascii="仿宋" w:hAnsi="仿宋" w:eastAsia="仿宋" w:cs="仿宋"/>
          <w:color w:val="auto"/>
          <w:highlight w:val="none"/>
        </w:rPr>
        <w:t>等。</w:t>
      </w: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法定代表人授权委托书</w:t>
      </w: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（适用于授权委托人参加投标）</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本授权委托书申明，我</w:t>
      </w:r>
      <w:r>
        <w:rPr>
          <w:rFonts w:hint="eastAsia" w:ascii="仿宋" w:hAnsi="仿宋" w:eastAsia="仿宋" w:cs="仿宋"/>
          <w:color w:val="auto"/>
          <w:highlight w:val="none"/>
          <w:u w:val="single"/>
        </w:rPr>
        <w:t>        (姓名)</w:t>
      </w:r>
      <w:r>
        <w:rPr>
          <w:rFonts w:hint="eastAsia" w:ascii="仿宋" w:hAnsi="仿宋" w:eastAsia="仿宋" w:cs="仿宋"/>
          <w:color w:val="auto"/>
          <w:highlight w:val="none"/>
        </w:rPr>
        <w:t>系</w:t>
      </w:r>
      <w:r>
        <w:rPr>
          <w:rFonts w:hint="eastAsia" w:ascii="仿宋" w:hAnsi="仿宋" w:eastAsia="仿宋" w:cs="仿宋"/>
          <w:color w:val="auto"/>
          <w:highlight w:val="none"/>
          <w:u w:val="single"/>
        </w:rPr>
        <w:t xml:space="preserve">                  (供应商名称)</w:t>
      </w:r>
      <w:r>
        <w:rPr>
          <w:rFonts w:hint="eastAsia" w:ascii="仿宋" w:hAnsi="仿宋" w:eastAsia="仿宋" w:cs="仿宋"/>
          <w:color w:val="auto"/>
          <w:highlight w:val="none"/>
        </w:rPr>
        <w:t>的法定代表人，现授权委托</w:t>
      </w:r>
      <w:r>
        <w:rPr>
          <w:rFonts w:hint="eastAsia" w:ascii="仿宋" w:hAnsi="仿宋" w:eastAsia="仿宋" w:cs="仿宋"/>
          <w:color w:val="auto"/>
          <w:highlight w:val="none"/>
          <w:u w:val="single"/>
        </w:rPr>
        <w:t xml:space="preserve">                          (姓名) </w:t>
      </w:r>
      <w:r>
        <w:rPr>
          <w:rFonts w:hint="eastAsia" w:ascii="仿宋" w:hAnsi="仿宋" w:eastAsia="仿宋" w:cs="仿宋"/>
          <w:color w:val="auto"/>
          <w:highlight w:val="none"/>
        </w:rPr>
        <w:t>为我方代理人，参</w:t>
      </w:r>
      <w:r>
        <w:rPr>
          <w:rFonts w:hint="eastAsia" w:ascii="仿宋" w:hAnsi="仿宋" w:eastAsia="仿宋" w:cs="仿宋"/>
          <w:color w:val="auto"/>
          <w:highlight w:val="none"/>
          <w:u w:val="single"/>
        </w:rPr>
        <w:t xml:space="preserve">加             (招标人名称)                                     (项目名称) </w:t>
      </w:r>
      <w:r>
        <w:rPr>
          <w:rFonts w:hint="eastAsia" w:ascii="仿宋" w:hAnsi="仿宋" w:eastAsia="仿宋" w:cs="仿宋"/>
          <w:color w:val="auto"/>
          <w:highlight w:val="none"/>
        </w:rPr>
        <w:t>的投标活动。代理人在本项目的投标、开标、评标、合同谈判及合同的执行和保修保养时签署的一切文件和处理与之有关的一切事物，我均予以承认，并承担其法律后果。委托期限：自本委托书签发之日起，至本招标项目履约结束时止。</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代理人无转委托权，特此委托。</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代理人：</w:t>
      </w:r>
      <w:r>
        <w:rPr>
          <w:rFonts w:hint="eastAsia" w:ascii="仿宋" w:hAnsi="仿宋" w:eastAsia="仿宋" w:cs="仿宋"/>
          <w:color w:val="auto"/>
          <w:highlight w:val="none"/>
          <w:u w:val="single"/>
        </w:rPr>
        <w:t>              </w:t>
      </w:r>
      <w:r>
        <w:rPr>
          <w:rFonts w:hint="eastAsia" w:ascii="仿宋" w:hAnsi="仿宋" w:eastAsia="仿宋" w:cs="仿宋"/>
          <w:color w:val="auto"/>
          <w:highlight w:val="none"/>
        </w:rPr>
        <w:t>（投标文件中须输入姓名）</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代理人身份证号码：</w:t>
      </w:r>
      <w:r>
        <w:rPr>
          <w:rFonts w:hint="eastAsia" w:ascii="仿宋" w:hAnsi="仿宋" w:eastAsia="仿宋" w:cs="仿宋"/>
          <w:color w:val="auto"/>
          <w:highlight w:val="none"/>
          <w:u w:val="single"/>
        </w:rPr>
        <w:t xml:space="preserve">                   </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性别：</w:t>
      </w:r>
      <w:r>
        <w:rPr>
          <w:rFonts w:hint="eastAsia" w:ascii="仿宋" w:hAnsi="仿宋" w:eastAsia="仿宋" w:cs="仿宋"/>
          <w:color w:val="auto"/>
          <w:highlight w:val="none"/>
          <w:u w:val="single"/>
        </w:rPr>
        <w:t xml:space="preserve">               </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年龄：</w:t>
      </w:r>
      <w:r>
        <w:rPr>
          <w:rFonts w:hint="eastAsia" w:ascii="仿宋" w:hAnsi="仿宋" w:eastAsia="仿宋" w:cs="仿宋"/>
          <w:color w:val="auto"/>
          <w:highlight w:val="none"/>
          <w:u w:val="single"/>
        </w:rPr>
        <w:t xml:space="preserve">              </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供应商：</w:t>
      </w:r>
      <w:r>
        <w:rPr>
          <w:rFonts w:hint="eastAsia" w:ascii="仿宋" w:hAnsi="仿宋" w:eastAsia="仿宋" w:cs="仿宋"/>
          <w:color w:val="auto"/>
          <w:highlight w:val="none"/>
          <w:u w:val="single"/>
        </w:rPr>
        <w:t>              </w:t>
      </w:r>
      <w:r>
        <w:rPr>
          <w:rFonts w:hint="eastAsia" w:ascii="仿宋" w:hAnsi="仿宋" w:eastAsia="仿宋" w:cs="仿宋"/>
          <w:color w:val="auto"/>
          <w:highlight w:val="none"/>
        </w:rPr>
        <w:t>(盖单位印章)</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法定代表人：</w:t>
      </w:r>
      <w:r>
        <w:rPr>
          <w:rFonts w:hint="eastAsia" w:ascii="仿宋" w:hAnsi="仿宋" w:eastAsia="仿宋" w:cs="仿宋"/>
          <w:color w:val="auto"/>
          <w:highlight w:val="none"/>
          <w:u w:val="single"/>
        </w:rPr>
        <w:t>             </w:t>
      </w:r>
      <w:r>
        <w:rPr>
          <w:rFonts w:hint="eastAsia" w:ascii="仿宋" w:hAnsi="仿宋" w:eastAsia="仿宋" w:cs="仿宋"/>
          <w:color w:val="auto"/>
          <w:highlight w:val="none"/>
        </w:rPr>
        <w:t>（盖印章）</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法定代表人身份证号码：</w:t>
      </w:r>
      <w:r>
        <w:rPr>
          <w:rFonts w:hint="eastAsia" w:ascii="仿宋" w:hAnsi="仿宋" w:eastAsia="仿宋" w:cs="仿宋"/>
          <w:color w:val="auto"/>
          <w:highlight w:val="none"/>
          <w:u w:val="single"/>
        </w:rPr>
        <w:t>                </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 xml:space="preserve">签发日期:     年   月  日         </w:t>
      </w:r>
    </w:p>
    <w:p>
      <w:pPr>
        <w:spacing w:line="360" w:lineRule="auto"/>
        <w:ind w:firstLine="643" w:firstLineChars="200"/>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须提供法定代表人</w:t>
      </w:r>
      <w:r>
        <w:rPr>
          <w:rFonts w:hint="eastAsia" w:ascii="仿宋" w:hAnsi="仿宋" w:eastAsia="仿宋" w:cs="仿宋"/>
          <w:b/>
          <w:color w:val="auto"/>
          <w:sz w:val="28"/>
          <w:szCs w:val="28"/>
          <w:highlight w:val="none"/>
          <w:lang w:val="en-US" w:eastAsia="zh-CN"/>
        </w:rPr>
        <w:t>及</w:t>
      </w:r>
      <w:r>
        <w:rPr>
          <w:rFonts w:hint="eastAsia" w:ascii="仿宋" w:hAnsi="仿宋" w:eastAsia="仿宋" w:cs="仿宋"/>
          <w:b/>
          <w:color w:val="auto"/>
          <w:sz w:val="28"/>
          <w:szCs w:val="28"/>
          <w:highlight w:val="none"/>
        </w:rPr>
        <w:t>授权委托人身份证正反两面扫描件</w:t>
      </w: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32"/>
          <w:szCs w:val="32"/>
          <w:highlight w:val="none"/>
        </w:rPr>
        <w:br w:type="page"/>
      </w:r>
      <w:r>
        <w:rPr>
          <w:rFonts w:hint="eastAsia" w:ascii="仿宋" w:hAnsi="仿宋" w:eastAsia="仿宋" w:cs="仿宋"/>
          <w:b/>
          <w:color w:val="auto"/>
          <w:sz w:val="28"/>
          <w:szCs w:val="28"/>
          <w:highlight w:val="none"/>
        </w:rPr>
        <w:t>法定代表人证明</w:t>
      </w: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（适用于法定代表人参加投标）</w:t>
      </w: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u w:val="single"/>
        </w:rPr>
        <w:t xml:space="preserve">           （法定代表人姓名）</w:t>
      </w:r>
      <w:r>
        <w:rPr>
          <w:rFonts w:hint="eastAsia" w:ascii="仿宋" w:hAnsi="仿宋" w:eastAsia="仿宋" w:cs="仿宋"/>
          <w:color w:val="auto"/>
          <w:highlight w:val="none"/>
        </w:rPr>
        <w:t>系</w:t>
      </w:r>
      <w:r>
        <w:rPr>
          <w:rFonts w:hint="eastAsia" w:ascii="仿宋" w:hAnsi="仿宋" w:eastAsia="仿宋" w:cs="仿宋"/>
          <w:color w:val="auto"/>
          <w:highlight w:val="none"/>
          <w:u w:val="single"/>
        </w:rPr>
        <w:t xml:space="preserve">              （供应商名称）</w:t>
      </w:r>
      <w:r>
        <w:rPr>
          <w:rFonts w:hint="eastAsia" w:ascii="仿宋" w:hAnsi="仿宋" w:eastAsia="仿宋" w:cs="仿宋"/>
          <w:color w:val="auto"/>
          <w:highlight w:val="none"/>
        </w:rPr>
        <w:t xml:space="preserve">法定代表人，职务为 </w:t>
      </w:r>
      <w:r>
        <w:rPr>
          <w:rFonts w:hint="eastAsia" w:ascii="仿宋" w:hAnsi="仿宋" w:eastAsia="仿宋" w:cs="仿宋"/>
          <w:color w:val="auto"/>
          <w:highlight w:val="none"/>
          <w:u w:val="single"/>
        </w:rPr>
        <w:t xml:space="preserve">            （职务名称）</w:t>
      </w:r>
      <w:r>
        <w:rPr>
          <w:rFonts w:hint="eastAsia" w:ascii="仿宋" w:hAnsi="仿宋" w:eastAsia="仿宋" w:cs="仿宋"/>
          <w:color w:val="auto"/>
          <w:highlight w:val="none"/>
        </w:rPr>
        <w:t>。</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特此证明。</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附：</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法定代表人身份证号码：</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w:t>
      </w: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jc w:val="right"/>
        <w:rPr>
          <w:rFonts w:hint="eastAsia" w:ascii="仿宋" w:hAnsi="仿宋" w:eastAsia="仿宋" w:cs="仿宋"/>
          <w:color w:val="auto"/>
          <w:highlight w:val="none"/>
        </w:rPr>
      </w:pPr>
      <w:r>
        <w:rPr>
          <w:rFonts w:hint="eastAsia" w:ascii="仿宋" w:hAnsi="仿宋" w:eastAsia="仿宋" w:cs="仿宋"/>
          <w:color w:val="auto"/>
          <w:highlight w:val="none"/>
        </w:rPr>
        <w:t>供应商全称 (盖单位</w:t>
      </w:r>
      <w:bookmarkStart w:id="0" w:name="_GoBack"/>
      <w:bookmarkEnd w:id="0"/>
      <w:r>
        <w:rPr>
          <w:rFonts w:hint="eastAsia" w:ascii="仿宋" w:hAnsi="仿宋" w:eastAsia="仿宋" w:cs="仿宋"/>
          <w:color w:val="auto"/>
          <w:highlight w:val="none"/>
        </w:rPr>
        <w:t xml:space="preserve">印章)                                                    </w:t>
      </w:r>
    </w:p>
    <w:p>
      <w:pPr>
        <w:spacing w:line="360" w:lineRule="auto"/>
        <w:ind w:firstLine="420" w:firstLineChars="200"/>
        <w:jc w:val="right"/>
        <w:rPr>
          <w:rFonts w:hint="eastAsia" w:ascii="仿宋" w:hAnsi="仿宋" w:eastAsia="仿宋" w:cs="仿宋"/>
          <w:color w:val="auto"/>
          <w:highlight w:val="none"/>
        </w:rPr>
      </w:pPr>
      <w:r>
        <w:rPr>
          <w:rFonts w:hint="eastAsia" w:ascii="仿宋" w:hAnsi="仿宋" w:eastAsia="仿宋" w:cs="仿宋"/>
          <w:color w:val="auto"/>
          <w:highlight w:val="none"/>
        </w:rPr>
        <w:t xml:space="preserve"> 年   月   日</w:t>
      </w:r>
    </w:p>
    <w:p>
      <w:pPr>
        <w:spacing w:line="360" w:lineRule="auto"/>
        <w:ind w:firstLine="643" w:firstLineChars="200"/>
        <w:jc w:val="right"/>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须提供法定代表人身份证正反两面扫描件</w:t>
      </w:r>
    </w:p>
    <w:p>
      <w:pPr>
        <w:pStyle w:val="5"/>
        <w:spacing w:line="500" w:lineRule="exact"/>
        <w:jc w:val="left"/>
        <w:rPr>
          <w:rFonts w:hint="eastAsia" w:ascii="仿宋" w:hAnsi="仿宋" w:eastAsia="仿宋" w:cs="仿宋"/>
          <w:color w:val="auto"/>
          <w:sz w:val="30"/>
          <w:szCs w:val="30"/>
          <w:highlight w:val="none"/>
        </w:rPr>
      </w:pPr>
      <w:r>
        <w:rPr>
          <w:rFonts w:hint="eastAsia" w:ascii="仿宋" w:hAnsi="仿宋" w:eastAsia="仿宋" w:cs="仿宋"/>
          <w:bCs/>
          <w:color w:val="auto"/>
          <w:szCs w:val="32"/>
          <w:highlight w:val="none"/>
        </w:rPr>
        <w:br w:type="page"/>
      </w:r>
      <w:r>
        <w:rPr>
          <w:rFonts w:hint="eastAsia" w:ascii="仿宋" w:hAnsi="仿宋" w:eastAsia="仿宋" w:cs="仿宋"/>
          <w:bCs/>
          <w:color w:val="auto"/>
          <w:szCs w:val="32"/>
          <w:highlight w:val="none"/>
          <w:lang w:val="en-US" w:eastAsia="zh-CN"/>
        </w:rPr>
        <w:t>五</w:t>
      </w:r>
      <w:r>
        <w:rPr>
          <w:rFonts w:hint="eastAsia" w:ascii="仿宋" w:hAnsi="仿宋" w:eastAsia="仿宋" w:cs="仿宋"/>
          <w:color w:val="auto"/>
          <w:sz w:val="30"/>
          <w:szCs w:val="30"/>
          <w:highlight w:val="none"/>
        </w:rPr>
        <w:t>、其他证明材料</w:t>
      </w:r>
    </w:p>
    <w:p>
      <w:pPr>
        <w:spacing w:line="360" w:lineRule="auto"/>
        <w:ind w:firstLine="422" w:firstLineChars="200"/>
        <w:rPr>
          <w:rFonts w:hint="eastAsia" w:ascii="仿宋" w:hAnsi="仿宋" w:eastAsia="仿宋" w:cs="仿宋"/>
          <w:b/>
          <w:bCs/>
          <w:color w:val="auto"/>
          <w:highlight w:val="none"/>
        </w:rPr>
      </w:pPr>
      <w:r>
        <w:rPr>
          <w:rFonts w:hint="eastAsia" w:ascii="仿宋" w:hAnsi="仿宋" w:eastAsia="仿宋" w:cs="仿宋"/>
          <w:b/>
          <w:bCs/>
          <w:color w:val="auto"/>
          <w:highlight w:val="none"/>
        </w:rPr>
        <w:t>1.供应商按招标文件《采购需求》及评标办法及评分规则要求提供证明材料。</w:t>
      </w:r>
    </w:p>
    <w:p>
      <w:pPr>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highlight w:val="none"/>
        </w:rPr>
        <w:t>2.要求提供业绩的，必须根据要求自制业绩列表，并按业绩列表顺序提供证明材料。</w:t>
      </w:r>
    </w:p>
    <w:p>
      <w:pPr>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br w:type="page"/>
      </w:r>
    </w:p>
    <w:p>
      <w:pPr>
        <w:pStyle w:val="5"/>
        <w:spacing w:line="500" w:lineRule="exact"/>
        <w:jc w:val="both"/>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六</w:t>
      </w:r>
      <w:r>
        <w:rPr>
          <w:rFonts w:hint="eastAsia" w:ascii="仿宋" w:hAnsi="仿宋" w:eastAsia="仿宋" w:cs="仿宋"/>
          <w:color w:val="auto"/>
          <w:sz w:val="30"/>
          <w:szCs w:val="30"/>
          <w:highlight w:val="none"/>
        </w:rPr>
        <w:t>、澄清函</w:t>
      </w: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澄清函（评标委员会要求供应商作出必要的澄清、说明或者补正）</w:t>
      </w:r>
    </w:p>
    <w:p>
      <w:pPr>
        <w:spacing w:line="360" w:lineRule="exact"/>
        <w:rPr>
          <w:rFonts w:hint="eastAsia" w:ascii="仿宋" w:hAnsi="仿宋" w:eastAsia="仿宋" w:cs="仿宋"/>
          <w:color w:val="auto"/>
          <w:highlight w:val="none"/>
        </w:rPr>
      </w:pPr>
    </w:p>
    <w:p>
      <w:pP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 xml:space="preserve">项目名称：               项目编号：     </w:t>
      </w:r>
    </w:p>
    <w:p>
      <w:pPr>
        <w:rPr>
          <w:rFonts w:hint="eastAsia" w:ascii="仿宋" w:hAnsi="仿宋" w:eastAsia="仿宋" w:cs="仿宋"/>
          <w:bCs/>
          <w:color w:val="auto"/>
          <w:sz w:val="24"/>
          <w:highlight w:val="none"/>
        </w:rPr>
      </w:pPr>
    </w:p>
    <w:tbl>
      <w:tblPr>
        <w:tblStyle w:val="18"/>
        <w:tblW w:w="0" w:type="auto"/>
        <w:tblInd w:w="96" w:type="dxa"/>
        <w:tblLayout w:type="fixed"/>
        <w:tblCellMar>
          <w:top w:w="0" w:type="dxa"/>
          <w:left w:w="108" w:type="dxa"/>
          <w:bottom w:w="0" w:type="dxa"/>
          <w:right w:w="108" w:type="dxa"/>
        </w:tblCellMar>
      </w:tblPr>
      <w:tblGrid>
        <w:gridCol w:w="1997"/>
        <w:gridCol w:w="7643"/>
      </w:tblGrid>
      <w:tr>
        <w:tblPrEx>
          <w:tblCellMar>
            <w:top w:w="0" w:type="dxa"/>
            <w:left w:w="108" w:type="dxa"/>
            <w:bottom w:w="0" w:type="dxa"/>
            <w:right w:w="108" w:type="dxa"/>
          </w:tblCellMar>
        </w:tblPrEx>
        <w:trPr>
          <w:trHeight w:val="2322" w:hRule="atLeast"/>
        </w:trPr>
        <w:tc>
          <w:tcPr>
            <w:tcW w:w="1997" w:type="dxa"/>
            <w:tcBorders>
              <w:top w:val="single" w:color="auto" w:sz="4" w:space="0"/>
              <w:left w:val="single" w:color="auto" w:sz="4" w:space="0"/>
              <w:bottom w:val="single" w:color="auto" w:sz="4" w:space="0"/>
              <w:right w:val="single" w:color="auto" w:sz="4" w:space="0"/>
            </w:tcBorders>
            <w:noWrap w:val="0"/>
            <w:textDirection w:val="tbRlV"/>
            <w:vAlign w:val="center"/>
          </w:tcPr>
          <w:p>
            <w:pPr>
              <w:widowControl/>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需澄清的内容</w:t>
            </w:r>
          </w:p>
        </w:tc>
        <w:tc>
          <w:tcPr>
            <w:tcW w:w="7643" w:type="dxa"/>
            <w:tcBorders>
              <w:top w:val="single" w:color="auto" w:sz="4" w:space="0"/>
              <w:left w:val="nil"/>
              <w:bottom w:val="single" w:color="auto" w:sz="4" w:space="0"/>
              <w:right w:val="single" w:color="000000" w:sz="4" w:space="0"/>
            </w:tcBorders>
            <w:noWrap w:val="0"/>
            <w:vAlign w:val="top"/>
          </w:tcPr>
          <w:p>
            <w:pPr>
              <w:widowControl/>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供应商名称：</w:t>
            </w:r>
          </w:p>
        </w:tc>
      </w:tr>
      <w:tr>
        <w:tblPrEx>
          <w:tblCellMar>
            <w:top w:w="0" w:type="dxa"/>
            <w:left w:w="108" w:type="dxa"/>
            <w:bottom w:w="0" w:type="dxa"/>
            <w:right w:w="108" w:type="dxa"/>
          </w:tblCellMar>
        </w:tblPrEx>
        <w:trPr>
          <w:trHeight w:val="3975" w:hRule="atLeast"/>
        </w:trPr>
        <w:tc>
          <w:tcPr>
            <w:tcW w:w="1997" w:type="dxa"/>
            <w:vMerge w:val="restart"/>
            <w:tcBorders>
              <w:top w:val="nil"/>
              <w:left w:val="single" w:color="auto" w:sz="4" w:space="0"/>
              <w:bottom w:val="single" w:color="000000" w:sz="4" w:space="0"/>
              <w:right w:val="nil"/>
            </w:tcBorders>
            <w:noWrap w:val="0"/>
            <w:vAlign w:val="center"/>
          </w:tcPr>
          <w:p>
            <w:pPr>
              <w:widowControl/>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供应商说明并签字</w:t>
            </w:r>
          </w:p>
        </w:tc>
        <w:tc>
          <w:tcPr>
            <w:tcW w:w="7643" w:type="dxa"/>
            <w:vMerge w:val="restart"/>
            <w:tcBorders>
              <w:top w:val="single" w:color="auto" w:sz="4" w:space="0"/>
              <w:left w:val="single" w:color="auto"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auto"/>
                <w:kern w:val="0"/>
                <w:szCs w:val="21"/>
                <w:highlight w:val="none"/>
              </w:rPr>
            </w:pPr>
          </w:p>
          <w:p>
            <w:pPr>
              <w:widowControl/>
              <w:jc w:val="center"/>
              <w:rPr>
                <w:rFonts w:hint="eastAsia" w:ascii="仿宋" w:hAnsi="仿宋" w:eastAsia="仿宋" w:cs="仿宋"/>
                <w:color w:val="auto"/>
                <w:kern w:val="0"/>
                <w:szCs w:val="21"/>
                <w:highlight w:val="none"/>
              </w:rPr>
            </w:pPr>
          </w:p>
          <w:p>
            <w:pPr>
              <w:widowControl/>
              <w:jc w:val="center"/>
              <w:rPr>
                <w:rFonts w:hint="eastAsia" w:ascii="仿宋" w:hAnsi="仿宋" w:eastAsia="仿宋" w:cs="仿宋"/>
                <w:color w:val="auto"/>
                <w:kern w:val="0"/>
                <w:szCs w:val="21"/>
                <w:highlight w:val="none"/>
              </w:rPr>
            </w:pPr>
          </w:p>
          <w:p>
            <w:pPr>
              <w:widowControl/>
              <w:jc w:val="center"/>
              <w:rPr>
                <w:rFonts w:hint="eastAsia" w:ascii="仿宋" w:hAnsi="仿宋" w:eastAsia="仿宋" w:cs="仿宋"/>
                <w:color w:val="auto"/>
                <w:kern w:val="0"/>
                <w:szCs w:val="21"/>
                <w:highlight w:val="none"/>
              </w:rPr>
            </w:pPr>
          </w:p>
          <w:p>
            <w:pPr>
              <w:widowControl/>
              <w:jc w:val="center"/>
              <w:rPr>
                <w:rFonts w:hint="eastAsia" w:ascii="仿宋" w:hAnsi="仿宋" w:eastAsia="仿宋" w:cs="仿宋"/>
                <w:color w:val="auto"/>
                <w:kern w:val="0"/>
                <w:szCs w:val="21"/>
                <w:highlight w:val="none"/>
              </w:rPr>
            </w:pPr>
          </w:p>
          <w:p>
            <w:pPr>
              <w:widowControl/>
              <w:jc w:val="center"/>
              <w:rPr>
                <w:rFonts w:hint="eastAsia" w:ascii="仿宋" w:hAnsi="仿宋" w:eastAsia="仿宋" w:cs="仿宋"/>
                <w:color w:val="auto"/>
                <w:kern w:val="0"/>
                <w:szCs w:val="21"/>
                <w:highlight w:val="none"/>
              </w:rPr>
            </w:pPr>
          </w:p>
          <w:p>
            <w:pPr>
              <w:widowControl/>
              <w:jc w:val="center"/>
              <w:rPr>
                <w:rFonts w:hint="eastAsia" w:ascii="仿宋" w:hAnsi="仿宋" w:eastAsia="仿宋" w:cs="仿宋"/>
                <w:color w:val="auto"/>
                <w:kern w:val="0"/>
                <w:szCs w:val="21"/>
                <w:highlight w:val="none"/>
              </w:rPr>
            </w:pPr>
          </w:p>
          <w:p>
            <w:pPr>
              <w:widowControl/>
              <w:jc w:val="center"/>
              <w:rPr>
                <w:rFonts w:hint="eastAsia" w:ascii="仿宋" w:hAnsi="仿宋" w:eastAsia="仿宋" w:cs="仿宋"/>
                <w:color w:val="auto"/>
                <w:kern w:val="0"/>
                <w:szCs w:val="21"/>
                <w:highlight w:val="none"/>
              </w:rPr>
            </w:pPr>
          </w:p>
          <w:p>
            <w:pPr>
              <w:widowControl/>
              <w:jc w:val="center"/>
              <w:rPr>
                <w:rFonts w:hint="eastAsia" w:ascii="仿宋" w:hAnsi="仿宋" w:eastAsia="仿宋" w:cs="仿宋"/>
                <w:color w:val="auto"/>
                <w:kern w:val="0"/>
                <w:szCs w:val="21"/>
                <w:highlight w:val="none"/>
              </w:rPr>
            </w:pPr>
          </w:p>
          <w:p>
            <w:pPr>
              <w:widowControl/>
              <w:jc w:val="center"/>
              <w:rPr>
                <w:rFonts w:hint="eastAsia" w:ascii="仿宋" w:hAnsi="仿宋" w:eastAsia="仿宋" w:cs="仿宋"/>
                <w:color w:val="auto"/>
                <w:kern w:val="0"/>
                <w:szCs w:val="21"/>
                <w:highlight w:val="none"/>
              </w:rPr>
            </w:pPr>
          </w:p>
          <w:p>
            <w:pPr>
              <w:widowControl/>
              <w:jc w:val="center"/>
              <w:rPr>
                <w:rFonts w:hint="eastAsia" w:ascii="仿宋" w:hAnsi="仿宋" w:eastAsia="仿宋" w:cs="仿宋"/>
                <w:color w:val="auto"/>
                <w:kern w:val="0"/>
                <w:szCs w:val="21"/>
                <w:highlight w:val="none"/>
              </w:rPr>
            </w:pPr>
          </w:p>
          <w:p>
            <w:pPr>
              <w:widowControl/>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供应商盖章，或者由法定代表人或其授权的代表签字：</w:t>
            </w:r>
          </w:p>
          <w:p>
            <w:pPr>
              <w:widowControl/>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日期：</w:t>
            </w:r>
          </w:p>
        </w:tc>
      </w:tr>
      <w:tr>
        <w:tblPrEx>
          <w:tblCellMar>
            <w:top w:w="0" w:type="dxa"/>
            <w:left w:w="108" w:type="dxa"/>
            <w:bottom w:w="0" w:type="dxa"/>
            <w:right w:w="108" w:type="dxa"/>
          </w:tblCellMar>
        </w:tblPrEx>
        <w:trPr>
          <w:trHeight w:val="570" w:hRule="atLeast"/>
        </w:trPr>
        <w:tc>
          <w:tcPr>
            <w:tcW w:w="1997" w:type="dxa"/>
            <w:vMerge w:val="continue"/>
            <w:tcBorders>
              <w:top w:val="nil"/>
              <w:left w:val="single" w:color="auto" w:sz="4" w:space="0"/>
              <w:bottom w:val="single" w:color="000000" w:sz="4" w:space="0"/>
              <w:right w:val="nil"/>
            </w:tcBorders>
            <w:noWrap w:val="0"/>
            <w:vAlign w:val="center"/>
          </w:tcPr>
          <w:p>
            <w:pPr>
              <w:widowControl/>
              <w:jc w:val="left"/>
              <w:rPr>
                <w:rFonts w:hint="eastAsia" w:ascii="仿宋" w:hAnsi="仿宋" w:eastAsia="仿宋" w:cs="仿宋"/>
                <w:color w:val="auto"/>
                <w:kern w:val="0"/>
                <w:szCs w:val="21"/>
                <w:highlight w:val="none"/>
              </w:rPr>
            </w:pPr>
          </w:p>
        </w:tc>
        <w:tc>
          <w:tcPr>
            <w:tcW w:w="7643"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12" w:hRule="atLeast"/>
        </w:trPr>
        <w:tc>
          <w:tcPr>
            <w:tcW w:w="1997" w:type="dxa"/>
            <w:vMerge w:val="continue"/>
            <w:tcBorders>
              <w:top w:val="nil"/>
              <w:left w:val="single" w:color="auto" w:sz="4" w:space="0"/>
              <w:bottom w:val="single" w:color="000000" w:sz="4" w:space="0"/>
              <w:right w:val="nil"/>
            </w:tcBorders>
            <w:noWrap w:val="0"/>
            <w:vAlign w:val="center"/>
          </w:tcPr>
          <w:p>
            <w:pPr>
              <w:widowControl/>
              <w:jc w:val="left"/>
              <w:rPr>
                <w:rFonts w:hint="eastAsia" w:ascii="仿宋" w:hAnsi="仿宋" w:eastAsia="仿宋" w:cs="仿宋"/>
                <w:color w:val="auto"/>
                <w:kern w:val="0"/>
                <w:szCs w:val="21"/>
                <w:highlight w:val="none"/>
              </w:rPr>
            </w:pPr>
          </w:p>
        </w:tc>
        <w:tc>
          <w:tcPr>
            <w:tcW w:w="7643"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2430" w:hRule="atLeast"/>
        </w:trPr>
        <w:tc>
          <w:tcPr>
            <w:tcW w:w="1997"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评标委员会意见</w:t>
            </w:r>
          </w:p>
        </w:tc>
        <w:tc>
          <w:tcPr>
            <w:tcW w:w="7643" w:type="dxa"/>
            <w:tcBorders>
              <w:top w:val="single" w:color="auto" w:sz="4" w:space="0"/>
              <w:left w:val="nil"/>
              <w:bottom w:val="single" w:color="auto" w:sz="4" w:space="0"/>
              <w:right w:val="single" w:color="000000" w:sz="4" w:space="0"/>
            </w:tcBorders>
            <w:noWrap w:val="0"/>
            <w:vAlign w:val="top"/>
          </w:tcPr>
          <w:p>
            <w:pPr>
              <w:widowControl/>
              <w:jc w:val="left"/>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1110" w:hRule="atLeast"/>
        </w:trPr>
        <w:tc>
          <w:tcPr>
            <w:tcW w:w="1997"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评标委员会签字</w:t>
            </w:r>
          </w:p>
        </w:tc>
        <w:tc>
          <w:tcPr>
            <w:tcW w:w="764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　日期：</w:t>
            </w:r>
          </w:p>
        </w:tc>
      </w:tr>
    </w:tbl>
    <w:p>
      <w:pPr>
        <w:rPr>
          <w:rFonts w:hint="eastAsia" w:ascii="仿宋" w:hAnsi="仿宋" w:eastAsia="仿宋" w:cs="仿宋"/>
          <w:color w:val="auto"/>
          <w:highlight w:val="none"/>
        </w:rPr>
      </w:pPr>
    </w:p>
    <w:sectPr>
      <w:footerReference r:id="rId3" w:type="default"/>
      <w:pgSz w:w="11907" w:h="16840"/>
      <w:pgMar w:top="1440" w:right="1800" w:bottom="1276" w:left="1800"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rif">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rPr>
        <w:rStyle w:val="22"/>
        <w:highlight w:val="white"/>
      </w:rPr>
      <w:instrText xml:space="preserve"> PAGE </w:instrText>
    </w:r>
    <w:r>
      <w:fldChar w:fldCharType="separate"/>
    </w:r>
    <w:r>
      <w:rPr>
        <w:rStyle w:val="22"/>
        <w:highlight w:val="white"/>
      </w:rPr>
      <w:t>74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yOTNkNjRhOTk1MTk0YThjNDFkNWY3MDBkY2M1Y2EifQ=="/>
  </w:docVars>
  <w:rsids>
    <w:rsidRoot w:val="70335BE5"/>
    <w:rsid w:val="00407455"/>
    <w:rsid w:val="006421B1"/>
    <w:rsid w:val="015B0659"/>
    <w:rsid w:val="015B4ED6"/>
    <w:rsid w:val="01680A34"/>
    <w:rsid w:val="01FB4AEA"/>
    <w:rsid w:val="02025C09"/>
    <w:rsid w:val="02065CF6"/>
    <w:rsid w:val="02226B8C"/>
    <w:rsid w:val="02347263"/>
    <w:rsid w:val="02CE688C"/>
    <w:rsid w:val="032D4760"/>
    <w:rsid w:val="036F3E2C"/>
    <w:rsid w:val="03BD3D35"/>
    <w:rsid w:val="03E54D09"/>
    <w:rsid w:val="044129BE"/>
    <w:rsid w:val="05BF7399"/>
    <w:rsid w:val="079970C8"/>
    <w:rsid w:val="08086930"/>
    <w:rsid w:val="08142C41"/>
    <w:rsid w:val="08A232E4"/>
    <w:rsid w:val="08C00BE2"/>
    <w:rsid w:val="09C45DD3"/>
    <w:rsid w:val="0A6E3990"/>
    <w:rsid w:val="0A70708C"/>
    <w:rsid w:val="0AC477B5"/>
    <w:rsid w:val="0AF516A3"/>
    <w:rsid w:val="0B0B0B75"/>
    <w:rsid w:val="0C66691B"/>
    <w:rsid w:val="0C954D70"/>
    <w:rsid w:val="0DE613E3"/>
    <w:rsid w:val="0E8D0E12"/>
    <w:rsid w:val="0E930401"/>
    <w:rsid w:val="0EB83A3C"/>
    <w:rsid w:val="0EBB36ED"/>
    <w:rsid w:val="0F053FD7"/>
    <w:rsid w:val="0F2403D3"/>
    <w:rsid w:val="0F98438A"/>
    <w:rsid w:val="0FB234DC"/>
    <w:rsid w:val="0FB56DA3"/>
    <w:rsid w:val="0FDD0E8D"/>
    <w:rsid w:val="0FDF5650"/>
    <w:rsid w:val="106E535E"/>
    <w:rsid w:val="118F1867"/>
    <w:rsid w:val="11B9415F"/>
    <w:rsid w:val="11C01723"/>
    <w:rsid w:val="12E23953"/>
    <w:rsid w:val="12FD27CB"/>
    <w:rsid w:val="148B26F0"/>
    <w:rsid w:val="14B04B54"/>
    <w:rsid w:val="15C230F1"/>
    <w:rsid w:val="15ED2BF4"/>
    <w:rsid w:val="15EF109A"/>
    <w:rsid w:val="16125616"/>
    <w:rsid w:val="16345E62"/>
    <w:rsid w:val="163E43EA"/>
    <w:rsid w:val="16932C54"/>
    <w:rsid w:val="16C529CE"/>
    <w:rsid w:val="16F81949"/>
    <w:rsid w:val="17084BFA"/>
    <w:rsid w:val="17821581"/>
    <w:rsid w:val="179C1EF4"/>
    <w:rsid w:val="18252C90"/>
    <w:rsid w:val="18874734"/>
    <w:rsid w:val="18BD033C"/>
    <w:rsid w:val="199D182F"/>
    <w:rsid w:val="19C914DB"/>
    <w:rsid w:val="1A1E2787"/>
    <w:rsid w:val="1A3927B1"/>
    <w:rsid w:val="1B562679"/>
    <w:rsid w:val="1BB0548B"/>
    <w:rsid w:val="1BE707CE"/>
    <w:rsid w:val="1C040448"/>
    <w:rsid w:val="1C2432F9"/>
    <w:rsid w:val="1D061601"/>
    <w:rsid w:val="1D8E485B"/>
    <w:rsid w:val="1D8E54B6"/>
    <w:rsid w:val="1EBD3EC7"/>
    <w:rsid w:val="1F47652A"/>
    <w:rsid w:val="1FEB2CEC"/>
    <w:rsid w:val="20D376BF"/>
    <w:rsid w:val="21527F1C"/>
    <w:rsid w:val="226B5FAF"/>
    <w:rsid w:val="22BD2102"/>
    <w:rsid w:val="2340062D"/>
    <w:rsid w:val="234B316F"/>
    <w:rsid w:val="23744D47"/>
    <w:rsid w:val="23BB2620"/>
    <w:rsid w:val="23DD1433"/>
    <w:rsid w:val="23E00E2D"/>
    <w:rsid w:val="24901D80"/>
    <w:rsid w:val="24B24AB7"/>
    <w:rsid w:val="24F42615"/>
    <w:rsid w:val="25525C4A"/>
    <w:rsid w:val="25623EBF"/>
    <w:rsid w:val="256C4AEF"/>
    <w:rsid w:val="2598781E"/>
    <w:rsid w:val="26284737"/>
    <w:rsid w:val="26645DC2"/>
    <w:rsid w:val="268B3EAE"/>
    <w:rsid w:val="269A2444"/>
    <w:rsid w:val="271C7615"/>
    <w:rsid w:val="27782106"/>
    <w:rsid w:val="278147C0"/>
    <w:rsid w:val="28E209E7"/>
    <w:rsid w:val="292D061F"/>
    <w:rsid w:val="29555E7E"/>
    <w:rsid w:val="29877EA4"/>
    <w:rsid w:val="2AA616E4"/>
    <w:rsid w:val="2AE361D4"/>
    <w:rsid w:val="2B2350CE"/>
    <w:rsid w:val="2B5B3E66"/>
    <w:rsid w:val="2B933830"/>
    <w:rsid w:val="2BD31A99"/>
    <w:rsid w:val="2C0322D0"/>
    <w:rsid w:val="2C3928E0"/>
    <w:rsid w:val="2C531E8C"/>
    <w:rsid w:val="2C751002"/>
    <w:rsid w:val="2CA01BC8"/>
    <w:rsid w:val="2D375A4E"/>
    <w:rsid w:val="2F09735C"/>
    <w:rsid w:val="2FF54C42"/>
    <w:rsid w:val="30555056"/>
    <w:rsid w:val="30847806"/>
    <w:rsid w:val="317253BD"/>
    <w:rsid w:val="319C59AA"/>
    <w:rsid w:val="31D01EB0"/>
    <w:rsid w:val="31EA03AA"/>
    <w:rsid w:val="332E70D3"/>
    <w:rsid w:val="33B10912"/>
    <w:rsid w:val="33DA251E"/>
    <w:rsid w:val="35CF35CA"/>
    <w:rsid w:val="36323C57"/>
    <w:rsid w:val="36DB5FAC"/>
    <w:rsid w:val="37125B5E"/>
    <w:rsid w:val="37F91106"/>
    <w:rsid w:val="385F0BCE"/>
    <w:rsid w:val="38917BAE"/>
    <w:rsid w:val="38DC383C"/>
    <w:rsid w:val="39737B98"/>
    <w:rsid w:val="3A3A2CE3"/>
    <w:rsid w:val="3A4F3DDE"/>
    <w:rsid w:val="3ABC275E"/>
    <w:rsid w:val="3B19797F"/>
    <w:rsid w:val="3B6D4A02"/>
    <w:rsid w:val="3BA31A14"/>
    <w:rsid w:val="3BF67528"/>
    <w:rsid w:val="3D5D2977"/>
    <w:rsid w:val="3DC15BF5"/>
    <w:rsid w:val="3F3132C3"/>
    <w:rsid w:val="3F5F1D03"/>
    <w:rsid w:val="3FD449DC"/>
    <w:rsid w:val="400448D0"/>
    <w:rsid w:val="400A237E"/>
    <w:rsid w:val="401D36A4"/>
    <w:rsid w:val="41734263"/>
    <w:rsid w:val="41994BE9"/>
    <w:rsid w:val="419D5A66"/>
    <w:rsid w:val="41EE3D76"/>
    <w:rsid w:val="420C3CE6"/>
    <w:rsid w:val="42207741"/>
    <w:rsid w:val="42B243E2"/>
    <w:rsid w:val="43BB3027"/>
    <w:rsid w:val="445D46DC"/>
    <w:rsid w:val="461F3F23"/>
    <w:rsid w:val="467D6FC1"/>
    <w:rsid w:val="46D07828"/>
    <w:rsid w:val="470467E2"/>
    <w:rsid w:val="47423C96"/>
    <w:rsid w:val="47F868D0"/>
    <w:rsid w:val="47FF1160"/>
    <w:rsid w:val="48552A95"/>
    <w:rsid w:val="488A29BC"/>
    <w:rsid w:val="49270A0E"/>
    <w:rsid w:val="49530196"/>
    <w:rsid w:val="496B01E0"/>
    <w:rsid w:val="4A214D31"/>
    <w:rsid w:val="4A925339"/>
    <w:rsid w:val="4AAE5753"/>
    <w:rsid w:val="4B3A63B8"/>
    <w:rsid w:val="4C1F3D1E"/>
    <w:rsid w:val="4C6060CB"/>
    <w:rsid w:val="4DFC73F6"/>
    <w:rsid w:val="4E2932EA"/>
    <w:rsid w:val="4E444299"/>
    <w:rsid w:val="4E9527DF"/>
    <w:rsid w:val="4ECA2C32"/>
    <w:rsid w:val="4F096CDF"/>
    <w:rsid w:val="4F9B5001"/>
    <w:rsid w:val="5035765B"/>
    <w:rsid w:val="50A674DD"/>
    <w:rsid w:val="50DF0C63"/>
    <w:rsid w:val="51D13A27"/>
    <w:rsid w:val="525B06C9"/>
    <w:rsid w:val="52B16299"/>
    <w:rsid w:val="535D7149"/>
    <w:rsid w:val="536A123C"/>
    <w:rsid w:val="536F451C"/>
    <w:rsid w:val="53D244DB"/>
    <w:rsid w:val="53D80D9B"/>
    <w:rsid w:val="53DB31B6"/>
    <w:rsid w:val="542D7E23"/>
    <w:rsid w:val="54784166"/>
    <w:rsid w:val="54A6761A"/>
    <w:rsid w:val="556064B0"/>
    <w:rsid w:val="557C1AF7"/>
    <w:rsid w:val="578D6167"/>
    <w:rsid w:val="57CA46D6"/>
    <w:rsid w:val="58453A2F"/>
    <w:rsid w:val="5882548F"/>
    <w:rsid w:val="58B70261"/>
    <w:rsid w:val="5A112694"/>
    <w:rsid w:val="5A8B77E2"/>
    <w:rsid w:val="5AA83C68"/>
    <w:rsid w:val="5AB973C8"/>
    <w:rsid w:val="5AE23E21"/>
    <w:rsid w:val="5B225A35"/>
    <w:rsid w:val="5B654F8E"/>
    <w:rsid w:val="5B956CDD"/>
    <w:rsid w:val="5BC0193E"/>
    <w:rsid w:val="5BDE39E3"/>
    <w:rsid w:val="5CA44FA6"/>
    <w:rsid w:val="5CD06C40"/>
    <w:rsid w:val="5CD322A6"/>
    <w:rsid w:val="5CF15961"/>
    <w:rsid w:val="5CF921F9"/>
    <w:rsid w:val="5D2C5A59"/>
    <w:rsid w:val="5D627A90"/>
    <w:rsid w:val="5D8B1171"/>
    <w:rsid w:val="5DA54E35"/>
    <w:rsid w:val="5DB85BE7"/>
    <w:rsid w:val="5E95371B"/>
    <w:rsid w:val="5EAC79D5"/>
    <w:rsid w:val="5EE0046E"/>
    <w:rsid w:val="5F204FAE"/>
    <w:rsid w:val="5F5841ED"/>
    <w:rsid w:val="60201BE5"/>
    <w:rsid w:val="6236702C"/>
    <w:rsid w:val="62566E95"/>
    <w:rsid w:val="626E28CF"/>
    <w:rsid w:val="638733CE"/>
    <w:rsid w:val="643150B3"/>
    <w:rsid w:val="646A7B30"/>
    <w:rsid w:val="651560CC"/>
    <w:rsid w:val="652C540A"/>
    <w:rsid w:val="66383CCB"/>
    <w:rsid w:val="666450C8"/>
    <w:rsid w:val="667E7962"/>
    <w:rsid w:val="66EC4200"/>
    <w:rsid w:val="676E4A62"/>
    <w:rsid w:val="67E1216A"/>
    <w:rsid w:val="68180423"/>
    <w:rsid w:val="6989378C"/>
    <w:rsid w:val="6A69504A"/>
    <w:rsid w:val="6A7E7DD0"/>
    <w:rsid w:val="6AD76B89"/>
    <w:rsid w:val="6BA20565"/>
    <w:rsid w:val="6C321B31"/>
    <w:rsid w:val="6C8F1157"/>
    <w:rsid w:val="6C9D5BD5"/>
    <w:rsid w:val="6D324616"/>
    <w:rsid w:val="6E4113F5"/>
    <w:rsid w:val="70335BE5"/>
    <w:rsid w:val="708E6456"/>
    <w:rsid w:val="70922674"/>
    <w:rsid w:val="7172111B"/>
    <w:rsid w:val="718E7C65"/>
    <w:rsid w:val="71FC5DCD"/>
    <w:rsid w:val="746A4E5A"/>
    <w:rsid w:val="74F24F18"/>
    <w:rsid w:val="76605E1D"/>
    <w:rsid w:val="76782C0E"/>
    <w:rsid w:val="767D6F6B"/>
    <w:rsid w:val="770F729B"/>
    <w:rsid w:val="781A3C8F"/>
    <w:rsid w:val="78894E2D"/>
    <w:rsid w:val="78BA37A1"/>
    <w:rsid w:val="79565EA8"/>
    <w:rsid w:val="79A06B89"/>
    <w:rsid w:val="79C334D9"/>
    <w:rsid w:val="79D4484B"/>
    <w:rsid w:val="7AC41F0E"/>
    <w:rsid w:val="7B380C78"/>
    <w:rsid w:val="7BA818FB"/>
    <w:rsid w:val="7BC7213D"/>
    <w:rsid w:val="7C442856"/>
    <w:rsid w:val="7C974F18"/>
    <w:rsid w:val="7D97044E"/>
    <w:rsid w:val="7E2D3F14"/>
    <w:rsid w:val="7E714ED6"/>
    <w:rsid w:val="7EFE01AD"/>
    <w:rsid w:val="7F804C5B"/>
    <w:rsid w:val="7FE55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ascii="Times New Roman" w:hAnsi="Times New Roman"/>
      <w:b/>
      <w:kern w:val="44"/>
      <w:sz w:val="44"/>
      <w:szCs w:val="20"/>
    </w:rPr>
  </w:style>
  <w:style w:type="paragraph" w:styleId="4">
    <w:name w:val="heading 2"/>
    <w:basedOn w:val="1"/>
    <w:next w:val="1"/>
    <w:qFormat/>
    <w:uiPriority w:val="0"/>
    <w:pPr>
      <w:keepNext/>
      <w:keepLines/>
      <w:spacing w:before="260" w:after="260" w:line="413" w:lineRule="auto"/>
      <w:outlineLvl w:val="1"/>
    </w:pPr>
    <w:rPr>
      <w:rFonts w:ascii="Arial" w:hAnsi="Arial" w:eastAsia="黑体"/>
      <w:b/>
      <w:sz w:val="32"/>
      <w:szCs w:val="20"/>
    </w:rPr>
  </w:style>
  <w:style w:type="paragraph" w:styleId="5">
    <w:name w:val="heading 3"/>
    <w:basedOn w:val="1"/>
    <w:next w:val="1"/>
    <w:qFormat/>
    <w:uiPriority w:val="0"/>
    <w:pPr>
      <w:keepNext/>
      <w:keepLines/>
      <w:spacing w:before="260" w:after="260" w:line="413" w:lineRule="auto"/>
      <w:outlineLvl w:val="2"/>
    </w:pPr>
    <w:rPr>
      <w:rFonts w:ascii="Times New Roman" w:hAnsi="Times New Roman"/>
      <w:b/>
      <w:sz w:val="32"/>
      <w:szCs w:val="20"/>
    </w:rPr>
  </w:style>
  <w:style w:type="paragraph" w:styleId="6">
    <w:name w:val="heading 4"/>
    <w:basedOn w:val="1"/>
    <w:next w:val="1"/>
    <w:qFormat/>
    <w:uiPriority w:val="9"/>
    <w:pPr>
      <w:keepNext/>
      <w:keepLines/>
      <w:spacing w:before="280" w:beforeLines="0" w:after="290" w:afterLines="0" w:line="372" w:lineRule="auto"/>
      <w:outlineLvl w:val="3"/>
    </w:pPr>
    <w:rPr>
      <w:rFonts w:ascii="Arial" w:hAnsi="Arial" w:eastAsia="黑体"/>
      <w:b/>
      <w:bCs/>
      <w:sz w:val="28"/>
      <w:szCs w:val="28"/>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rFonts w:ascii="宋体" w:hAnsi="宋体" w:eastAsia="宋体" w:cs="宋体"/>
      <w:sz w:val="21"/>
      <w:szCs w:val="21"/>
      <w:lang w:val="zh-CN" w:eastAsia="zh-CN" w:bidi="zh-CN"/>
    </w:rPr>
  </w:style>
  <w:style w:type="paragraph" w:styleId="7">
    <w:name w:val="Normal Indent"/>
    <w:basedOn w:val="1"/>
    <w:qFormat/>
    <w:uiPriority w:val="0"/>
    <w:pPr>
      <w:ind w:firstLine="420" w:firstLineChars="200"/>
    </w:pPr>
    <w:rPr>
      <w:szCs w:val="22"/>
    </w:rPr>
  </w:style>
  <w:style w:type="paragraph" w:styleId="8">
    <w:name w:val="annotation text"/>
    <w:basedOn w:val="1"/>
    <w:qFormat/>
    <w:uiPriority w:val="0"/>
    <w:pPr>
      <w:jc w:val="left"/>
    </w:pPr>
  </w:style>
  <w:style w:type="paragraph" w:styleId="9">
    <w:name w:val="Body Text Indent"/>
    <w:basedOn w:val="1"/>
    <w:next w:val="10"/>
    <w:qFormat/>
    <w:uiPriority w:val="0"/>
    <w:pPr>
      <w:spacing w:after="120" w:afterLines="0"/>
      <w:ind w:left="420" w:leftChars="200"/>
    </w:pPr>
    <w:rPr>
      <w:rFonts w:ascii="Times New Roman" w:hAnsi="Times New Roman"/>
      <w:szCs w:val="20"/>
    </w:rPr>
  </w:style>
  <w:style w:type="paragraph" w:styleId="10">
    <w:name w:val="envelope return"/>
    <w:basedOn w:val="1"/>
    <w:qFormat/>
    <w:uiPriority w:val="99"/>
    <w:pPr>
      <w:snapToGrid w:val="0"/>
    </w:pPr>
    <w:rPr>
      <w:rFonts w:ascii="Arial" w:hAnsi="Arial" w:cs="Arial"/>
    </w:rPr>
  </w:style>
  <w:style w:type="paragraph" w:styleId="11">
    <w:name w:val="index 4"/>
    <w:basedOn w:val="1"/>
    <w:next w:val="1"/>
    <w:qFormat/>
    <w:uiPriority w:val="99"/>
    <w:pPr>
      <w:ind w:left="600" w:leftChars="600"/>
    </w:pPr>
    <w:rPr>
      <w:szCs w:val="24"/>
    </w:rPr>
  </w:style>
  <w:style w:type="paragraph" w:styleId="12">
    <w:name w:val="Plain Text"/>
    <w:basedOn w:val="1"/>
    <w:qFormat/>
    <w:uiPriority w:val="0"/>
    <w:rPr>
      <w:rFonts w:ascii="宋体" w:hAnsi="Courier New"/>
      <w:szCs w:val="20"/>
    </w:rPr>
  </w:style>
  <w:style w:type="paragraph" w:styleId="13">
    <w:name w:val="footer"/>
    <w:basedOn w:val="1"/>
    <w:qFormat/>
    <w:uiPriority w:val="0"/>
    <w:pPr>
      <w:widowControl/>
      <w:tabs>
        <w:tab w:val="center" w:pos="4153"/>
        <w:tab w:val="right" w:pos="8306"/>
      </w:tabs>
      <w:snapToGrid w:val="0"/>
      <w:jc w:val="left"/>
    </w:pPr>
    <w:rPr>
      <w:rFonts w:ascii="宋体" w:hAnsi="宋体"/>
      <w:kern w:val="0"/>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5">
    <w:name w:val="Normal (Web)"/>
    <w:basedOn w:val="1"/>
    <w:qFormat/>
    <w:uiPriority w:val="99"/>
    <w:pPr>
      <w:widowControl/>
      <w:spacing w:before="100" w:beforeLines="0" w:beforeAutospacing="1" w:after="100" w:afterLines="0" w:afterAutospacing="1"/>
      <w:jc w:val="left"/>
    </w:pPr>
    <w:rPr>
      <w:rFonts w:hint="eastAsia" w:ascii="宋体" w:hAnsi="宋体"/>
      <w:kern w:val="0"/>
      <w:sz w:val="24"/>
    </w:rPr>
  </w:style>
  <w:style w:type="paragraph" w:styleId="16">
    <w:name w:val="Body Text First Indent"/>
    <w:basedOn w:val="2"/>
    <w:next w:val="1"/>
    <w:qFormat/>
    <w:uiPriority w:val="0"/>
    <w:pPr>
      <w:spacing w:line="360" w:lineRule="auto"/>
      <w:ind w:firstLine="420"/>
    </w:pPr>
    <w:rPr>
      <w:rFonts w:ascii="宋体" w:hAnsi="宋体"/>
      <w:sz w:val="24"/>
    </w:rPr>
  </w:style>
  <w:style w:type="paragraph" w:styleId="17">
    <w:name w:val="Body Text First Indent 2"/>
    <w:basedOn w:val="9"/>
    <w:next w:val="1"/>
    <w:qFormat/>
    <w:uiPriority w:val="0"/>
    <w:pPr>
      <w:ind w:firstLine="420" w:firstLineChars="200"/>
    </w:p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b/>
      <w:bCs/>
    </w:rPr>
  </w:style>
  <w:style w:type="character" w:styleId="22">
    <w:name w:val="page number"/>
    <w:basedOn w:val="20"/>
    <w:qFormat/>
    <w:uiPriority w:val="0"/>
  </w:style>
  <w:style w:type="character" w:styleId="23">
    <w:name w:val="FollowedHyperlink"/>
    <w:basedOn w:val="20"/>
    <w:qFormat/>
    <w:uiPriority w:val="0"/>
    <w:rPr>
      <w:rFonts w:hint="eastAsia" w:ascii="微软雅黑" w:hAnsi="微软雅黑" w:eastAsia="微软雅黑" w:cs="微软雅黑"/>
      <w:color w:val="02396F"/>
      <w:u w:val="single"/>
    </w:rPr>
  </w:style>
  <w:style w:type="character" w:styleId="24">
    <w:name w:val="Emphasis"/>
    <w:basedOn w:val="20"/>
    <w:qFormat/>
    <w:uiPriority w:val="0"/>
  </w:style>
  <w:style w:type="character" w:styleId="25">
    <w:name w:val="HTML Definition"/>
    <w:basedOn w:val="20"/>
    <w:qFormat/>
    <w:uiPriority w:val="0"/>
  </w:style>
  <w:style w:type="character" w:styleId="26">
    <w:name w:val="HTML Typewriter"/>
    <w:basedOn w:val="20"/>
    <w:qFormat/>
    <w:uiPriority w:val="0"/>
    <w:rPr>
      <w:rFonts w:hint="default" w:ascii="monospace" w:hAnsi="monospace" w:eastAsia="monospace" w:cs="monospace"/>
      <w:sz w:val="20"/>
    </w:rPr>
  </w:style>
  <w:style w:type="character" w:styleId="27">
    <w:name w:val="HTML Acronym"/>
    <w:basedOn w:val="20"/>
    <w:qFormat/>
    <w:uiPriority w:val="0"/>
  </w:style>
  <w:style w:type="character" w:styleId="28">
    <w:name w:val="HTML Variable"/>
    <w:basedOn w:val="20"/>
    <w:qFormat/>
    <w:uiPriority w:val="0"/>
  </w:style>
  <w:style w:type="character" w:styleId="29">
    <w:name w:val="Hyperlink"/>
    <w:basedOn w:val="20"/>
    <w:qFormat/>
    <w:uiPriority w:val="0"/>
    <w:rPr>
      <w:rFonts w:hint="eastAsia" w:ascii="微软雅黑" w:hAnsi="微软雅黑" w:eastAsia="微软雅黑" w:cs="微软雅黑"/>
      <w:color w:val="02396F"/>
      <w:u w:val="single"/>
    </w:rPr>
  </w:style>
  <w:style w:type="character" w:styleId="30">
    <w:name w:val="HTML Code"/>
    <w:basedOn w:val="20"/>
    <w:qFormat/>
    <w:uiPriority w:val="0"/>
    <w:rPr>
      <w:rFonts w:hint="default" w:ascii="serif" w:hAnsi="serif" w:eastAsia="serif" w:cs="serif"/>
      <w:sz w:val="21"/>
      <w:szCs w:val="21"/>
    </w:rPr>
  </w:style>
  <w:style w:type="character" w:styleId="31">
    <w:name w:val="annotation reference"/>
    <w:qFormat/>
    <w:uiPriority w:val="0"/>
    <w:rPr>
      <w:sz w:val="21"/>
      <w:szCs w:val="21"/>
    </w:rPr>
  </w:style>
  <w:style w:type="character" w:styleId="32">
    <w:name w:val="HTML Cite"/>
    <w:basedOn w:val="20"/>
    <w:qFormat/>
    <w:uiPriority w:val="0"/>
  </w:style>
  <w:style w:type="character" w:styleId="33">
    <w:name w:val="HTML Keyboard"/>
    <w:basedOn w:val="20"/>
    <w:qFormat/>
    <w:uiPriority w:val="0"/>
    <w:rPr>
      <w:rFonts w:hint="default" w:ascii="serif" w:hAnsi="serif" w:eastAsia="serif" w:cs="serif"/>
      <w:sz w:val="21"/>
      <w:szCs w:val="21"/>
    </w:rPr>
  </w:style>
  <w:style w:type="character" w:styleId="34">
    <w:name w:val="HTML Sample"/>
    <w:basedOn w:val="20"/>
    <w:qFormat/>
    <w:uiPriority w:val="0"/>
    <w:rPr>
      <w:rFonts w:ascii="serif" w:hAnsi="serif" w:eastAsia="serif" w:cs="serif"/>
      <w:sz w:val="21"/>
      <w:szCs w:val="21"/>
    </w:rPr>
  </w:style>
  <w:style w:type="character" w:customStyle="1" w:styleId="35">
    <w:name w:val="通用部分 Char"/>
    <w:link w:val="36"/>
    <w:qFormat/>
    <w:uiPriority w:val="0"/>
    <w:rPr>
      <w:rFonts w:ascii="宋体" w:hAnsi="宋体"/>
      <w:b/>
      <w:sz w:val="44"/>
      <w:szCs w:val="44"/>
    </w:rPr>
  </w:style>
  <w:style w:type="paragraph" w:customStyle="1" w:styleId="36">
    <w:name w:val="通用部分"/>
    <w:basedOn w:val="1"/>
    <w:link w:val="35"/>
    <w:qFormat/>
    <w:uiPriority w:val="0"/>
    <w:pPr>
      <w:jc w:val="center"/>
    </w:pPr>
    <w:rPr>
      <w:rFonts w:ascii="宋体" w:hAnsi="宋体"/>
      <w:b/>
      <w:sz w:val="44"/>
      <w:szCs w:val="44"/>
    </w:rPr>
  </w:style>
  <w:style w:type="paragraph" w:customStyle="1" w:styleId="37">
    <w:name w:val="Normal_0"/>
    <w:qFormat/>
    <w:uiPriority w:val="0"/>
    <w:rPr>
      <w:rFonts w:ascii="Calibri" w:hAnsi="Calibri" w:eastAsia="宋体" w:cs="Times New Roman"/>
      <w:sz w:val="24"/>
      <w:szCs w:val="24"/>
      <w:lang w:val="en-US" w:eastAsia="zh-CN" w:bidi="ar-SA"/>
    </w:rPr>
  </w:style>
  <w:style w:type="paragraph" w:customStyle="1" w:styleId="38">
    <w:name w:val="Normal_1"/>
    <w:qFormat/>
    <w:uiPriority w:val="0"/>
    <w:rPr>
      <w:rFonts w:ascii="Times New Roman" w:hAnsi="Times New Roman" w:eastAsia="Times New Roman" w:cs="Times New Roman"/>
      <w:sz w:val="24"/>
      <w:szCs w:val="24"/>
      <w:lang w:bidi="ar-SA"/>
    </w:rPr>
  </w:style>
  <w:style w:type="paragraph" w:customStyle="1" w:styleId="39">
    <w:name w:val="正文_0_0"/>
    <w:qFormat/>
    <w:uiPriority w:val="0"/>
    <w:pPr>
      <w:widowControl w:val="0"/>
      <w:jc w:val="both"/>
    </w:pPr>
    <w:rPr>
      <w:rFonts w:ascii="Times New Roman" w:hAnsi="Times New Roman" w:eastAsia="宋体" w:cs="Times New Roman"/>
      <w:kern w:val="2"/>
      <w:sz w:val="21"/>
      <w:lang w:val="en-US" w:eastAsia="zh-CN" w:bidi="ar-SA"/>
    </w:rPr>
  </w:style>
  <w:style w:type="paragraph" w:styleId="40">
    <w:name w:val="No Spacing"/>
    <w:qFormat/>
    <w:uiPriority w:val="0"/>
    <w:rPr>
      <w:rFonts w:ascii="Calibri" w:hAnsi="Calibri" w:eastAsia="宋体" w:cs="Times New Roman"/>
      <w:kern w:val="2"/>
      <w:sz w:val="22"/>
      <w:lang w:val="en-US" w:eastAsia="zh-CN" w:bidi="ar-SA"/>
    </w:rPr>
  </w:style>
  <w:style w:type="paragraph" w:customStyle="1" w:styleId="41">
    <w:name w:val="Body text|1"/>
    <w:basedOn w:val="1"/>
    <w:qFormat/>
    <w:uiPriority w:val="0"/>
    <w:pPr>
      <w:spacing w:line="415" w:lineRule="auto"/>
      <w:ind w:firstLine="400"/>
    </w:pPr>
    <w:rPr>
      <w:rFonts w:ascii="宋体" w:hAnsi="宋体" w:cs="宋体"/>
      <w:color w:val="44505D"/>
      <w:sz w:val="28"/>
      <w:szCs w:val="28"/>
      <w:lang w:val="zh-TW" w:eastAsia="zh-TW" w:bidi="zh-TW"/>
    </w:rPr>
  </w:style>
  <w:style w:type="paragraph" w:customStyle="1" w:styleId="42">
    <w:name w:val="Body text|5"/>
    <w:basedOn w:val="1"/>
    <w:qFormat/>
    <w:uiPriority w:val="0"/>
    <w:pPr>
      <w:ind w:hanging="1840"/>
    </w:pPr>
    <w:rPr>
      <w:sz w:val="10"/>
      <w:szCs w:val="10"/>
      <w:u w:val="single"/>
      <w:lang w:val="zh-CN"/>
    </w:rPr>
  </w:style>
  <w:style w:type="character" w:customStyle="1" w:styleId="43">
    <w:name w:val="qxdate"/>
    <w:basedOn w:val="20"/>
    <w:qFormat/>
    <w:uiPriority w:val="0"/>
    <w:rPr>
      <w:color w:val="333333"/>
      <w:sz w:val="9"/>
      <w:szCs w:val="9"/>
    </w:rPr>
  </w:style>
  <w:style w:type="character" w:customStyle="1" w:styleId="44">
    <w:name w:val="gjfg"/>
    <w:basedOn w:val="20"/>
    <w:qFormat/>
    <w:uiPriority w:val="0"/>
  </w:style>
  <w:style w:type="character" w:customStyle="1" w:styleId="45">
    <w:name w:val="redfilefwwh"/>
    <w:basedOn w:val="20"/>
    <w:qFormat/>
    <w:uiPriority w:val="0"/>
    <w:rPr>
      <w:color w:val="BA2636"/>
      <w:sz w:val="9"/>
      <w:szCs w:val="9"/>
    </w:rPr>
  </w:style>
  <w:style w:type="character" w:customStyle="1" w:styleId="46">
    <w:name w:val="prev2"/>
    <w:basedOn w:val="20"/>
    <w:qFormat/>
    <w:uiPriority w:val="0"/>
    <w:rPr>
      <w:rFonts w:ascii="微软雅黑" w:hAnsi="微软雅黑" w:eastAsia="微软雅黑" w:cs="微软雅黑"/>
      <w:sz w:val="10"/>
      <w:szCs w:val="10"/>
    </w:rPr>
  </w:style>
  <w:style w:type="character" w:customStyle="1" w:styleId="47">
    <w:name w:val="redfilenumber"/>
    <w:basedOn w:val="20"/>
    <w:qFormat/>
    <w:uiPriority w:val="0"/>
    <w:rPr>
      <w:color w:val="BA2636"/>
      <w:sz w:val="9"/>
      <w:szCs w:val="9"/>
    </w:rPr>
  </w:style>
  <w:style w:type="character" w:customStyle="1" w:styleId="48">
    <w:name w:val="displayarti"/>
    <w:basedOn w:val="20"/>
    <w:qFormat/>
    <w:uiPriority w:val="0"/>
    <w:rPr>
      <w:color w:val="FFFFFF"/>
      <w:shd w:val="clear" w:fill="A00000"/>
    </w:rPr>
  </w:style>
  <w:style w:type="character" w:customStyle="1" w:styleId="49">
    <w:name w:val="cfdate"/>
    <w:basedOn w:val="20"/>
    <w:qFormat/>
    <w:uiPriority w:val="0"/>
    <w:rPr>
      <w:color w:val="333333"/>
      <w:sz w:val="9"/>
      <w:szCs w:val="9"/>
    </w:rPr>
  </w:style>
  <w:style w:type="character" w:customStyle="1" w:styleId="50">
    <w:name w:val="next2"/>
    <w:basedOn w:val="20"/>
    <w:qFormat/>
    <w:uiPriority w:val="0"/>
    <w:rPr>
      <w:rFonts w:hint="eastAsia" w:ascii="微软雅黑" w:hAnsi="微软雅黑" w:eastAsia="微软雅黑" w:cs="微软雅黑"/>
      <w:sz w:val="10"/>
      <w:szCs w:val="10"/>
    </w:rPr>
  </w:style>
  <w:style w:type="character" w:customStyle="1" w:styleId="51">
    <w:name w:val="next3"/>
    <w:basedOn w:val="20"/>
    <w:qFormat/>
    <w:uiPriority w:val="0"/>
    <w:rPr>
      <w:color w:val="888888"/>
    </w:rPr>
  </w:style>
  <w:style w:type="character" w:customStyle="1" w:styleId="52">
    <w:name w:val="prev"/>
    <w:basedOn w:val="20"/>
    <w:qFormat/>
    <w:uiPriority w:val="0"/>
    <w:rPr>
      <w:rFonts w:ascii="微软雅黑" w:hAnsi="微软雅黑" w:eastAsia="微软雅黑" w:cs="微软雅黑"/>
      <w:sz w:val="10"/>
      <w:szCs w:val="10"/>
    </w:rPr>
  </w:style>
  <w:style w:type="character" w:customStyle="1" w:styleId="53">
    <w:name w:val="prev1"/>
    <w:basedOn w:val="20"/>
    <w:qFormat/>
    <w:uiPriority w:val="0"/>
    <w:rPr>
      <w:color w:val="888888"/>
    </w:rPr>
  </w:style>
  <w:style w:type="character" w:customStyle="1" w:styleId="54">
    <w:name w:val="next"/>
    <w:basedOn w:val="20"/>
    <w:qFormat/>
    <w:uiPriority w:val="0"/>
    <w:rPr>
      <w:color w:val="888888"/>
    </w:rPr>
  </w:style>
  <w:style w:type="character" w:customStyle="1" w:styleId="55">
    <w:name w:val="next1"/>
    <w:basedOn w:val="20"/>
    <w:qFormat/>
    <w:uiPriority w:val="0"/>
    <w:rPr>
      <w:rFonts w:hint="eastAsia" w:ascii="微软雅黑" w:hAnsi="微软雅黑" w:eastAsia="微软雅黑" w:cs="微软雅黑"/>
      <w:sz w:val="10"/>
      <w:szCs w:val="10"/>
    </w:rPr>
  </w:style>
  <w:style w:type="character" w:customStyle="1" w:styleId="56">
    <w:name w:val="prev3"/>
    <w:basedOn w:val="20"/>
    <w:qFormat/>
    <w:uiPriority w:val="0"/>
    <w:rPr>
      <w:color w:val="888888"/>
    </w:rPr>
  </w:style>
  <w:style w:type="character" w:customStyle="1" w:styleId="57">
    <w:name w:val="fontborder"/>
    <w:basedOn w:val="20"/>
    <w:qFormat/>
    <w:uiPriority w:val="0"/>
    <w:rPr>
      <w:bdr w:val="single" w:color="000000" w:sz="2" w:space="0"/>
    </w:rPr>
  </w:style>
  <w:style w:type="character" w:customStyle="1" w:styleId="58">
    <w:name w:val="fontstrikethrough"/>
    <w:basedOn w:val="20"/>
    <w:qFormat/>
    <w:uiPriority w:val="0"/>
    <w:rPr>
      <w:strike/>
    </w:rPr>
  </w:style>
  <w:style w:type="paragraph" w:customStyle="1" w:styleId="59">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0">
    <w:name w:val="Table Paragraph"/>
    <w:basedOn w:val="1"/>
    <w:qFormat/>
    <w:uiPriority w:val="1"/>
    <w:rPr>
      <w:rFonts w:ascii="宋体" w:hAnsi="宋体" w:eastAsia="宋体" w:cs="宋体"/>
      <w:lang w:val="zh-CN" w:eastAsia="zh-CN" w:bidi="zh-CN"/>
    </w:rPr>
  </w:style>
  <w:style w:type="paragraph" w:styleId="61">
    <w:name w:val="List Paragraph"/>
    <w:basedOn w:val="1"/>
    <w:qFormat/>
    <w:uiPriority w:val="1"/>
    <w:pPr>
      <w:ind w:left="400" w:firstLine="419"/>
    </w:pPr>
    <w:rPr>
      <w:rFonts w:ascii="宋体" w:hAnsi="宋体" w:eastAsia="宋体" w:cs="宋体"/>
      <w:lang w:val="zh-CN" w:eastAsia="zh-CN" w:bidi="zh-CN"/>
    </w:rPr>
  </w:style>
  <w:style w:type="paragraph" w:customStyle="1" w:styleId="62">
    <w:name w:val="179"/>
    <w:basedOn w:val="1"/>
    <w:qFormat/>
    <w:uiPriority w:val="0"/>
    <w:pPr>
      <w:spacing w:before="0" w:after="0" w:line="240" w:lineRule="auto"/>
      <w:ind w:left="400" w:right="0" w:firstLine="419"/>
      <w:jc w:val="left"/>
      <w:textAlignment w:val="baseline"/>
    </w:pPr>
    <w:rPr>
      <w:rFonts w:ascii="宋体" w:hAnsi="宋体" w:eastAsia="宋体"/>
      <w:sz w:val="22"/>
      <w:szCs w:val="22"/>
      <w:lang w:val="zh-CN" w:eastAsia="zh-CN" w:bidi="zh-CN"/>
    </w:rPr>
  </w:style>
  <w:style w:type="character" w:customStyle="1" w:styleId="63">
    <w:name w:val="NormalCharacter"/>
    <w:qFormat/>
    <w:uiPriority w:val="0"/>
    <w:rPr>
      <w:rFonts w:ascii="宋体" w:hAnsi="宋体" w:eastAsia="宋体" w:cs="宋体"/>
      <w:sz w:val="22"/>
      <w:szCs w:val="22"/>
      <w:lang w:val="zh-CN" w:eastAsia="zh-CN" w:bidi="zh-CN"/>
    </w:rPr>
  </w:style>
  <w:style w:type="paragraph" w:customStyle="1" w:styleId="64">
    <w:name w:val="正文_0"/>
    <w:next w:val="16"/>
    <w:qFormat/>
    <w:uiPriority w:val="0"/>
    <w:pPr>
      <w:widowControl w:val="0"/>
      <w:jc w:val="both"/>
    </w:pPr>
    <w:rPr>
      <w:rFonts w:ascii="Calibri" w:hAnsi="Calibri" w:eastAsia="Calibri"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12020</Words>
  <Characters>12800</Characters>
  <Lines>0</Lines>
  <Paragraphs>0</Paragraphs>
  <TotalTime>3</TotalTime>
  <ScaleCrop>false</ScaleCrop>
  <LinksUpToDate>false</LinksUpToDate>
  <CharactersWithSpaces>13574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2021-05-02T08:01:00Z</dcterms:created>
  <dc:creator>P</dc:creator>
  <cp:lastModifiedBy>苏柏亚宋姗姗</cp:lastModifiedBy>
  <cp:lastPrinted>2021-12-27T06:56:00Z</cp:lastPrinted>
  <dcterms:modified xsi:type="dcterms:W3CDTF">2022-07-08T11:17:39Z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C3ACD1F96BD743CBA140F55B0E21A4DE</vt:lpwstr>
  </property>
</Properties>
</file>